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C956A1">
      <w:pPr>
        <w:spacing w:line="560" w:lineRule="exact"/>
        <w:jc w:val="center"/>
        <w:rPr>
          <w:rFonts w:ascii="仿宋_GB2312" w:hAnsi="Times New Roman" w:eastAsia="仿宋_GB2312" w:cs="Times New Roman"/>
          <w:b/>
          <w:bCs/>
          <w:sz w:val="44"/>
          <w:szCs w:val="44"/>
          <w:highlight w:val="none"/>
        </w:rPr>
      </w:pPr>
      <w:bookmarkStart w:id="0" w:name="_Toc6837"/>
      <w:bookmarkStart w:id="1" w:name="_Toc22313"/>
      <w:bookmarkStart w:id="2" w:name="_Toc31059"/>
      <w:bookmarkStart w:id="3" w:name="_Toc5076"/>
    </w:p>
    <w:bookmarkEnd w:id="0"/>
    <w:bookmarkEnd w:id="1"/>
    <w:bookmarkEnd w:id="2"/>
    <w:bookmarkEnd w:id="3"/>
    <w:p w14:paraId="34281B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44"/>
          <w:szCs w:val="44"/>
          <w:lang w:eastAsia="zh-CN"/>
        </w:rPr>
      </w:pPr>
    </w:p>
    <w:p w14:paraId="29D982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44"/>
          <w:szCs w:val="44"/>
        </w:rPr>
      </w:pPr>
      <w:bookmarkStart w:id="4" w:name="OLE_LINK8"/>
      <w:r>
        <w:rPr>
          <w:rFonts w:hint="eastAsia" w:ascii="仿宋_GB2312" w:hAnsi="仿宋_GB2312" w:eastAsia="仿宋_GB2312" w:cs="仿宋_GB2312"/>
          <w:b/>
          <w:bCs/>
          <w:sz w:val="44"/>
          <w:szCs w:val="44"/>
          <w:highlight w:val="none"/>
          <w:lang w:eastAsia="zh-CN"/>
        </w:rPr>
        <w:t>2025-2026年度物</w:t>
      </w:r>
      <w:r>
        <w:rPr>
          <w:rFonts w:hint="eastAsia" w:ascii="仿宋_GB2312" w:hAnsi="仿宋_GB2312" w:eastAsia="仿宋_GB2312" w:cs="仿宋_GB2312"/>
          <w:b/>
          <w:bCs/>
          <w:sz w:val="44"/>
          <w:szCs w:val="44"/>
        </w:rPr>
        <w:t>流运输服务</w:t>
      </w:r>
    </w:p>
    <w:p w14:paraId="27C48E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r>
        <w:rPr>
          <w:rFonts w:hint="eastAsia" w:ascii="仿宋_GB2312" w:hAnsi="仿宋_GB2312" w:eastAsia="仿宋_GB2312" w:cs="仿宋_GB2312"/>
          <w:b/>
          <w:bCs/>
          <w:sz w:val="44"/>
          <w:szCs w:val="44"/>
        </w:rPr>
        <w:t>询价采购文件</w:t>
      </w:r>
    </w:p>
    <w:bookmarkEnd w:id="4"/>
    <w:p w14:paraId="489049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14:paraId="12F9FD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14:paraId="1B8EF2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14:paraId="6DCF46DA">
      <w:pPr>
        <w:pStyle w:val="13"/>
        <w:rPr>
          <w:rFonts w:ascii="仿宋_GB2312" w:eastAsia="仿宋_GB2312"/>
          <w:sz w:val="44"/>
          <w:szCs w:val="44"/>
          <w:highlight w:val="none"/>
        </w:rPr>
      </w:pPr>
    </w:p>
    <w:p w14:paraId="59986D0B">
      <w:pPr>
        <w:pStyle w:val="13"/>
        <w:rPr>
          <w:rFonts w:ascii="仿宋_GB2312" w:eastAsia="仿宋_GB2312"/>
          <w:sz w:val="44"/>
          <w:szCs w:val="44"/>
          <w:highlight w:val="none"/>
        </w:rPr>
      </w:pPr>
    </w:p>
    <w:p w14:paraId="1AF306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sz w:val="44"/>
          <w:szCs w:val="44"/>
          <w:highlight w:val="none"/>
        </w:rPr>
      </w:pPr>
    </w:p>
    <w:p w14:paraId="785B19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14:paraId="59E121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14:paraId="2CD58C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14:paraId="56AA2D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sz w:val="44"/>
          <w:szCs w:val="44"/>
          <w:highlight w:val="none"/>
        </w:rPr>
      </w:pPr>
    </w:p>
    <w:p w14:paraId="59AEDA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14:paraId="23EEBE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14:paraId="18FC95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36"/>
          <w:szCs w:val="36"/>
          <w:highlight w:val="none"/>
          <w:lang w:eastAsia="zh-CN"/>
        </w:rPr>
      </w:pPr>
      <w:r>
        <w:rPr>
          <w:rFonts w:hint="eastAsia" w:ascii="仿宋_GB2312" w:eastAsia="仿宋_GB2312"/>
          <w:sz w:val="36"/>
          <w:szCs w:val="36"/>
          <w:highlight w:val="none"/>
        </w:rPr>
        <w:t>询价采购人：</w:t>
      </w:r>
      <w:r>
        <w:rPr>
          <w:rFonts w:hint="eastAsia" w:ascii="仿宋_GB2312" w:eastAsia="仿宋_GB2312"/>
          <w:sz w:val="36"/>
          <w:szCs w:val="36"/>
          <w:highlight w:val="none"/>
          <w:lang w:eastAsia="zh-CN"/>
        </w:rPr>
        <w:t>福路通资源循环（福建）有限公司</w:t>
      </w:r>
    </w:p>
    <w:p w14:paraId="2CF633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6"/>
          <w:szCs w:val="36"/>
          <w:highlight w:val="none"/>
        </w:rPr>
      </w:pPr>
    </w:p>
    <w:p w14:paraId="7C2970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6"/>
          <w:szCs w:val="36"/>
          <w:highlight w:val="none"/>
        </w:rPr>
      </w:pPr>
      <w:r>
        <w:rPr>
          <w:rFonts w:hint="eastAsia" w:ascii="仿宋_GB2312" w:eastAsia="仿宋_GB2312"/>
          <w:sz w:val="36"/>
          <w:szCs w:val="36"/>
          <w:highlight w:val="none"/>
        </w:rPr>
        <w:t>日  期：2025年</w:t>
      </w:r>
      <w:r>
        <w:rPr>
          <w:rFonts w:hint="eastAsia" w:ascii="仿宋_GB2312" w:eastAsia="仿宋_GB2312"/>
          <w:sz w:val="36"/>
          <w:szCs w:val="36"/>
          <w:highlight w:val="none"/>
          <w:lang w:val="en-US" w:eastAsia="zh-CN"/>
        </w:rPr>
        <w:t>11</w:t>
      </w:r>
      <w:r>
        <w:rPr>
          <w:rFonts w:hint="eastAsia" w:ascii="仿宋_GB2312" w:eastAsia="仿宋_GB2312"/>
          <w:sz w:val="36"/>
          <w:szCs w:val="36"/>
          <w:highlight w:val="none"/>
        </w:rPr>
        <w:t>月</w:t>
      </w:r>
      <w:r>
        <w:rPr>
          <w:rFonts w:hint="eastAsia" w:ascii="仿宋_GB2312" w:eastAsia="仿宋_GB2312"/>
          <w:sz w:val="36"/>
          <w:szCs w:val="36"/>
          <w:highlight w:val="none"/>
          <w:lang w:val="en-US" w:eastAsia="zh-CN"/>
        </w:rPr>
        <w:t>10</w:t>
      </w:r>
      <w:r>
        <w:rPr>
          <w:rFonts w:hint="eastAsia" w:ascii="仿宋_GB2312" w:eastAsia="仿宋_GB2312"/>
          <w:sz w:val="36"/>
          <w:szCs w:val="36"/>
          <w:highlight w:val="none"/>
        </w:rPr>
        <w:t>日</w:t>
      </w:r>
    </w:p>
    <w:p w14:paraId="5CE00DB2">
      <w:pPr>
        <w:spacing w:line="560" w:lineRule="exact"/>
        <w:rPr>
          <w:rFonts w:ascii="仿宋_GB2312" w:eastAsia="仿宋_GB2312"/>
          <w:b/>
          <w:sz w:val="32"/>
          <w:szCs w:val="32"/>
          <w:highlight w:val="none"/>
        </w:rPr>
      </w:pPr>
    </w:p>
    <w:p w14:paraId="59B78A14">
      <w:pPr>
        <w:rPr>
          <w:highlight w:val="none"/>
        </w:rPr>
      </w:pPr>
    </w:p>
    <w:p w14:paraId="09E6C92B">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9"/>
      </w:pPr>
      <w:bookmarkStart w:id="5" w:name="_Toc10711"/>
      <w:bookmarkStart w:id="6" w:name="_Toc17350"/>
      <w:bookmarkStart w:id="7" w:name="_Toc15082"/>
      <w:bookmarkStart w:id="8" w:name="_Toc9421"/>
      <w:r>
        <w:rPr>
          <w:rFonts w:hint="eastAsia" w:ascii="黑体" w:hAnsi="黑体" w:eastAsia="黑体" w:cs="黑体"/>
          <w:sz w:val="44"/>
          <w:szCs w:val="44"/>
          <w:highlight w:val="none"/>
        </w:rPr>
        <w:t>目  录</w:t>
      </w:r>
      <w:bookmarkEnd w:id="5"/>
      <w:bookmarkEnd w:id="6"/>
      <w:bookmarkEnd w:id="7"/>
    </w:p>
    <w:bookmarkEnd w:id="8"/>
    <w:sdt>
      <w:sdtPr>
        <w:rPr>
          <w:rFonts w:ascii="宋体" w:hAnsi="宋体" w:eastAsia="宋体" w:cs="Times New Roman"/>
          <w:kern w:val="2"/>
          <w:sz w:val="21"/>
          <w:lang w:val="en-US" w:eastAsia="zh-CN" w:bidi="ar-SA"/>
        </w:rPr>
        <w:id w:val="147455381"/>
        <w15:color w:val="DBDBDB"/>
        <w:docPartObj>
          <w:docPartGallery w:val="Table of Contents"/>
          <w:docPartUnique/>
        </w:docPartObj>
      </w:sdtPr>
      <w:sdtEndPr>
        <w:rPr>
          <w:rFonts w:hint="eastAsia" w:ascii="仿宋_GB2312" w:hAnsi="仿宋_GB2312" w:eastAsia="仿宋_GB2312" w:cs="仿宋_GB2312"/>
          <w:kern w:val="2"/>
          <w:sz w:val="24"/>
          <w:szCs w:val="32"/>
          <w:highlight w:val="none"/>
          <w:lang w:val="en-US" w:eastAsia="zh-CN" w:bidi="ar-SA"/>
        </w:rPr>
      </w:sdtEndPr>
      <w:sdtContent>
        <w:p w14:paraId="74505334">
          <w:pPr>
            <w:keepNext w:val="0"/>
            <w:keepLines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pPr>
        </w:p>
        <w:p w14:paraId="4B08C9F7">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"1-1"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_Toc23473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第一篇  询价采购公告</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_Toc23473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- 3 -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rPr>
            <w:t xml:space="preserve"> -</w:t>
          </w:r>
        </w:p>
        <w:p w14:paraId="5D0A945F">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_Toc20226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第二篇  项目采购规格、最高限价及质量要求</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_Toc20226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- 7 -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rPr>
            <w:t xml:space="preserve"> -</w:t>
          </w:r>
        </w:p>
        <w:p w14:paraId="7BCD60C4">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_Toc12890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第三篇  供应商须知</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_Toc12890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- 8 -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p>
        <w:p w14:paraId="02873BB8">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_Toc22954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第四篇  响应文件要求</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_Toc22954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- 11 -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p>
        <w:p w14:paraId="6D292373">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_Toc30156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第五篇  评审办法</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_Toc30156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- 14 -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p>
        <w:p w14:paraId="01DA8C43">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_Toc3466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第六篇  合同主要条款、合同格式</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_Toc3466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- 18 -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p>
        <w:p w14:paraId="61594A76">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_Toc12462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第七篇  响应文件格式</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_Toc12462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- 27 -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p>
        <w:p w14:paraId="194170A9">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_Toc32112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rPr>
            <w:t>一、报 价 函</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_Toc32112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- 32 -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p>
        <w:p w14:paraId="4F845200">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_Toc28569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lang w:val="en-US" w:eastAsia="zh-CN" w:bidi="ar-SA"/>
            </w:rPr>
            <w:t>二、</w:t>
          </w:r>
          <w:r>
            <w:rPr>
              <w:rFonts w:hint="eastAsia" w:ascii="仿宋_GB2312" w:hAnsi="仿宋_GB2312" w:eastAsia="仿宋_GB2312" w:cs="仿宋_GB2312"/>
              <w:b w:val="0"/>
              <w:bCs/>
              <w:kern w:val="44"/>
              <w:sz w:val="32"/>
              <w:szCs w:val="32"/>
              <w:highlight w:val="none"/>
            </w:rPr>
            <w:t>报 价 表</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_Toc28569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- 33 -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p>
        <w:p w14:paraId="782040C2">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_Toc23747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rPr>
            <w:t>三、供应商法定代表人身份证明书</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_Toc23747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- 34 -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p>
        <w:p w14:paraId="6DAE9F3F">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_Toc9094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rPr>
            <w:t>四、供应商法定代表人授权委托书</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_Toc9094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- 36 -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p>
        <w:p w14:paraId="09CEA45D">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_Toc22759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rPr>
            <w:t>五、资质文件</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_Toc22759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- 38 -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p>
        <w:p w14:paraId="5455D9A5">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_Toc15993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lang w:val="en-US" w:eastAsia="zh-CN"/>
            </w:rPr>
            <w:t>六</w:t>
          </w:r>
          <w:r>
            <w:rPr>
              <w:rFonts w:hint="eastAsia" w:ascii="仿宋_GB2312" w:hAnsi="仿宋_GB2312" w:eastAsia="仿宋_GB2312" w:cs="仿宋_GB2312"/>
              <w:b w:val="0"/>
              <w:bCs/>
              <w:kern w:val="44"/>
              <w:sz w:val="32"/>
              <w:szCs w:val="32"/>
              <w:highlight w:val="none"/>
            </w:rPr>
            <w:t>、其他文件</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_Toc15993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- 39 -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p>
        <w:p w14:paraId="2E8C0B51">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_Toc21651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lang w:val="en-US" w:eastAsia="zh-CN"/>
            </w:rPr>
            <w:t>七</w:t>
          </w:r>
          <w:r>
            <w:rPr>
              <w:rFonts w:hint="eastAsia" w:ascii="仿宋_GB2312" w:hAnsi="仿宋_GB2312" w:eastAsia="仿宋_GB2312" w:cs="仿宋_GB2312"/>
              <w:b w:val="0"/>
              <w:bCs/>
              <w:kern w:val="44"/>
              <w:sz w:val="32"/>
              <w:szCs w:val="32"/>
              <w:highlight w:val="none"/>
            </w:rPr>
            <w:t>、供应商廉政保证书</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_Toc21651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- 40 -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highlight w:val="none"/>
            </w:rPr>
            <w:fldChar w:fldCharType="end"/>
          </w:r>
        </w:p>
        <w:p w14:paraId="7D5470A0">
          <w:pPr>
            <w:pStyle w:val="13"/>
            <w:keepNext w:val="0"/>
            <w:keepLines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4"/>
              <w:szCs w:val="32"/>
              <w:highlight w:val="none"/>
              <w:lang w:val="en-US" w:eastAsia="zh-CN" w:bidi="ar-SA"/>
            </w:rPr>
          </w:pPr>
          <w:r>
            <w:rPr>
              <w:rFonts w:hint="eastAsia" w:ascii="仿宋_GB2312" w:hAnsi="仿宋_GB2312" w:eastAsia="仿宋_GB2312" w:cs="仿宋_GB2312"/>
              <w:szCs w:val="32"/>
              <w:highlight w:val="none"/>
            </w:rPr>
            <w:fldChar w:fldCharType="end"/>
          </w:r>
        </w:p>
      </w:sdtContent>
    </w:sdt>
    <w:p w14:paraId="45138EAA">
      <w:pPr>
        <w:pStyle w:val="13"/>
        <w:keepNext w:val="0"/>
        <w:keepLines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4"/>
          <w:szCs w:val="32"/>
          <w:highlight w:val="none"/>
          <w:lang w:val="en-US" w:eastAsia="zh-CN" w:bidi="ar-SA"/>
        </w:rPr>
      </w:pPr>
    </w:p>
    <w:p w14:paraId="2B71A0F6">
      <w:pPr>
        <w:pageBreakBefore/>
        <w:spacing w:line="560" w:lineRule="exact"/>
        <w:jc w:val="center"/>
        <w:outlineLvl w:val="0"/>
        <w:rPr>
          <w:rFonts w:hint="eastAsia" w:ascii="黑体" w:hAnsi="黑体" w:eastAsia="黑体" w:cs="黑体"/>
          <w:sz w:val="44"/>
          <w:szCs w:val="44"/>
          <w:highlight w:val="none"/>
        </w:rPr>
      </w:pPr>
      <w:bookmarkStart w:id="9" w:name="_Toc23473"/>
      <w:bookmarkStart w:id="10" w:name="_Toc32144"/>
      <w:bookmarkStart w:id="11" w:name="_Toc24334"/>
      <w:bookmarkStart w:id="12" w:name="_Toc31528"/>
      <w:r>
        <w:rPr>
          <w:rFonts w:hint="eastAsia" w:ascii="黑体" w:hAnsi="黑体" w:eastAsia="黑体" w:cs="黑体"/>
          <w:sz w:val="44"/>
          <w:szCs w:val="44"/>
          <w:highlight w:val="none"/>
        </w:rPr>
        <w:t>第一篇  询价采购公告</w:t>
      </w:r>
      <w:bookmarkEnd w:id="9"/>
      <w:bookmarkEnd w:id="10"/>
      <w:bookmarkEnd w:id="11"/>
      <w:bookmarkEnd w:id="12"/>
    </w:p>
    <w:p w14:paraId="4138DA81">
      <w:pPr>
        <w:spacing w:line="560" w:lineRule="exact"/>
        <w:ind w:firstLine="640" w:firstLineChars="200"/>
        <w:rPr>
          <w:rFonts w:hint="eastAsia" w:ascii="仿宋_GB2312" w:hAnsi="仿宋_GB2312" w:eastAsia="仿宋_GB2312" w:cs="仿宋_GB2312"/>
          <w:sz w:val="32"/>
          <w:szCs w:val="32"/>
          <w:highlight w:val="none"/>
        </w:rPr>
      </w:pPr>
    </w:p>
    <w:p w14:paraId="3D23583C">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2025-2026年度物流运输服务</w:t>
      </w:r>
      <w:r>
        <w:rPr>
          <w:rFonts w:hint="eastAsia" w:ascii="仿宋_GB2312" w:hAnsi="仿宋_GB2312" w:eastAsia="仿宋_GB2312" w:cs="仿宋_GB2312"/>
          <w:sz w:val="32"/>
          <w:szCs w:val="32"/>
          <w:highlight w:val="none"/>
        </w:rPr>
        <w:t>进行询价采购，现欢迎中国境内具备资质能力的合格供应商参与本项目询价活动。</w:t>
      </w:r>
    </w:p>
    <w:p w14:paraId="0FFCD9AE">
      <w:pPr>
        <w:spacing w:line="560" w:lineRule="exact"/>
        <w:ind w:firstLine="643" w:firstLineChars="200"/>
        <w:outlineLvl w:val="0"/>
        <w:rPr>
          <w:rFonts w:ascii="仿宋_GB2312" w:hAnsi="仿宋_GB2312" w:eastAsia="仿宋_GB2312" w:cs="仿宋_GB2312"/>
          <w:b/>
          <w:sz w:val="32"/>
          <w:szCs w:val="32"/>
          <w:highlight w:val="none"/>
        </w:rPr>
      </w:pPr>
      <w:bookmarkStart w:id="13" w:name="_Toc23117"/>
      <w:bookmarkStart w:id="14" w:name="_Toc359"/>
      <w:bookmarkStart w:id="15" w:name="_Toc8192"/>
      <w:bookmarkStart w:id="16" w:name="_Toc11987"/>
      <w:bookmarkStart w:id="17" w:name="_Toc7329"/>
      <w:bookmarkStart w:id="18" w:name="_Toc409439663"/>
      <w:bookmarkStart w:id="19" w:name="_Toc257911916"/>
      <w:bookmarkStart w:id="20" w:name="_Toc508286650"/>
      <w:r>
        <w:rPr>
          <w:rFonts w:hint="eastAsia" w:ascii="仿宋_GB2312" w:hAnsi="仿宋_GB2312" w:eastAsia="仿宋_GB2312" w:cs="仿宋_GB2312"/>
          <w:b/>
          <w:sz w:val="32"/>
          <w:szCs w:val="32"/>
          <w:highlight w:val="none"/>
        </w:rPr>
        <w:t>一、项目基本情况</w:t>
      </w:r>
      <w:bookmarkEnd w:id="13"/>
      <w:bookmarkEnd w:id="14"/>
      <w:bookmarkEnd w:id="15"/>
      <w:bookmarkEnd w:id="16"/>
      <w:bookmarkEnd w:id="17"/>
    </w:p>
    <w:p w14:paraId="206158A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2"/>
          <w:szCs w:val="32"/>
          <w:highlight w:val="none"/>
          <w:lang w:eastAsia="zh-CN"/>
        </w:rPr>
        <w:t>2025-2026年度物</w:t>
      </w:r>
      <w:r>
        <w:rPr>
          <w:rFonts w:hint="eastAsia" w:ascii="仿宋_GB2312" w:hAnsi="仿宋_GB2312" w:eastAsia="仿宋_GB2312" w:cs="仿宋_GB2312"/>
          <w:sz w:val="32"/>
          <w:szCs w:val="32"/>
          <w:highlight w:val="none"/>
        </w:rPr>
        <w:t>流运输服务</w:t>
      </w:r>
    </w:p>
    <w:p w14:paraId="5B175834">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采购方式：询价采购</w:t>
      </w:r>
    </w:p>
    <w:p w14:paraId="299F9D08">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采购需求：</w:t>
      </w:r>
      <w:r>
        <w:rPr>
          <w:rFonts w:hint="eastAsia" w:ascii="仿宋_GB2312" w:hAnsi="仿宋_GB2312" w:eastAsia="仿宋_GB2312" w:cs="仿宋_GB2312"/>
          <w:sz w:val="32"/>
          <w:szCs w:val="32"/>
          <w:highlight w:val="none"/>
          <w:lang w:val="en-US" w:eastAsia="zh-CN"/>
        </w:rPr>
        <w:t>服务采购</w:t>
      </w:r>
      <w:r>
        <w:rPr>
          <w:rFonts w:hint="eastAsia" w:ascii="仿宋_GB2312" w:hAnsi="仿宋_GB2312" w:eastAsia="仿宋_GB2312" w:cs="仿宋_GB2312"/>
          <w:sz w:val="32"/>
          <w:szCs w:val="32"/>
          <w:highlight w:val="none"/>
        </w:rPr>
        <w:t>，具体要求详见采购文件第二篇。</w:t>
      </w:r>
    </w:p>
    <w:p w14:paraId="6B580316">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项目含税最高</w:t>
      </w:r>
      <w:r>
        <w:rPr>
          <w:rFonts w:hint="eastAsia" w:ascii="仿宋_GB2312" w:hAnsi="仿宋_GB2312" w:eastAsia="仿宋_GB2312" w:cs="仿宋_GB2312"/>
          <w:sz w:val="32"/>
          <w:szCs w:val="32"/>
          <w:highlight w:val="none"/>
          <w:lang w:val="en-US" w:eastAsia="zh-CN"/>
        </w:rPr>
        <w:t>限制总价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233500元</w:t>
      </w:r>
      <w:r>
        <w:rPr>
          <w:rFonts w:hint="eastAsia" w:ascii="仿宋_GB2312" w:hAnsi="仿宋_GB2312" w:eastAsia="仿宋_GB2312" w:cs="仿宋_GB2312"/>
          <w:sz w:val="32"/>
          <w:szCs w:val="32"/>
          <w:highlight w:val="none"/>
          <w:lang w:val="en-US" w:eastAsia="zh-CN" w:bidi="ar"/>
        </w:rPr>
        <w:t>，</w:t>
      </w:r>
      <w:r>
        <w:rPr>
          <w:rFonts w:hint="eastAsia" w:ascii="仿宋_GB2312" w:hAnsi="仿宋_GB2312" w:eastAsia="仿宋_GB2312" w:cs="仿宋_GB2312"/>
          <w:sz w:val="32"/>
          <w:szCs w:val="32"/>
          <w:highlight w:val="none"/>
          <w:lang w:bidi="ar"/>
        </w:rPr>
        <w:t>本项目设置响应最高限价，供应商响应报价不得超出最高限价。</w:t>
      </w:r>
    </w:p>
    <w:p w14:paraId="2A7B5243">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合同履行期限：自合同签订之日起一年内</w:t>
      </w:r>
    </w:p>
    <w:p w14:paraId="580FA423">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val="0"/>
          <w:bCs/>
          <w:sz w:val="32"/>
          <w:szCs w:val="32"/>
          <w:highlight w:val="none"/>
          <w:lang w:val="en-US" w:eastAsia="zh-CN"/>
        </w:rPr>
        <w:t>服务</w:t>
      </w:r>
      <w:r>
        <w:rPr>
          <w:rFonts w:hint="eastAsia" w:ascii="仿宋_GB2312" w:hAnsi="仿宋_GB2312" w:eastAsia="仿宋_GB2312" w:cs="仿宋_GB2312"/>
          <w:b w:val="0"/>
          <w:bCs/>
          <w:sz w:val="32"/>
          <w:szCs w:val="32"/>
          <w:highlight w:val="none"/>
        </w:rPr>
        <w:t>地点：</w:t>
      </w:r>
      <w:r>
        <w:rPr>
          <w:rFonts w:hint="eastAsia" w:ascii="仿宋_GB2312" w:hAnsi="仿宋_GB2312" w:eastAsia="仿宋_GB2312" w:cs="仿宋_GB2312"/>
          <w:bCs/>
          <w:sz w:val="32"/>
          <w:szCs w:val="32"/>
          <w:highlight w:val="none"/>
        </w:rPr>
        <w:t>福建省内采购人指定地点</w:t>
      </w:r>
    </w:p>
    <w:p w14:paraId="2F32D7A5">
      <w:pPr>
        <w:spacing w:line="560" w:lineRule="exact"/>
        <w:ind w:firstLine="643" w:firstLineChars="200"/>
        <w:outlineLvl w:val="0"/>
        <w:rPr>
          <w:rFonts w:ascii="仿宋_GB2312" w:hAnsi="仿宋_GB2312" w:eastAsia="仿宋_GB2312" w:cs="仿宋_GB2312"/>
          <w:b/>
          <w:sz w:val="32"/>
          <w:szCs w:val="32"/>
          <w:highlight w:val="none"/>
        </w:rPr>
      </w:pPr>
      <w:bookmarkStart w:id="21" w:name="_Toc26096"/>
      <w:bookmarkStart w:id="22" w:name="_Toc27157"/>
      <w:bookmarkStart w:id="23" w:name="_Toc9620"/>
      <w:bookmarkStart w:id="24" w:name="_Toc12322"/>
      <w:bookmarkStart w:id="25" w:name="_Toc5762"/>
      <w:r>
        <w:rPr>
          <w:rFonts w:hint="eastAsia" w:ascii="仿宋_GB2312" w:hAnsi="仿宋_GB2312" w:eastAsia="仿宋_GB2312" w:cs="仿宋_GB2312"/>
          <w:b/>
          <w:sz w:val="32"/>
          <w:szCs w:val="32"/>
          <w:highlight w:val="none"/>
        </w:rPr>
        <w:t>二、供应商资格条件</w:t>
      </w:r>
      <w:bookmarkEnd w:id="21"/>
      <w:bookmarkEnd w:id="22"/>
      <w:bookmarkEnd w:id="23"/>
      <w:bookmarkEnd w:id="24"/>
      <w:bookmarkEnd w:id="25"/>
    </w:p>
    <w:p w14:paraId="4C879767">
      <w:pPr>
        <w:wordWrap w:val="0"/>
        <w:spacing w:line="560" w:lineRule="exact"/>
        <w:ind w:firstLine="640" w:firstLineChars="200"/>
        <w:rPr>
          <w:rFonts w:hint="eastAsia" w:ascii="仿宋_GB2312" w:hAnsi="仿宋_GB2312" w:eastAsia="仿宋_GB2312" w:cs="仿宋_GB2312"/>
          <w:sz w:val="32"/>
          <w:szCs w:val="32"/>
          <w:highlight w:val="none"/>
        </w:rPr>
      </w:pPr>
      <w:bookmarkStart w:id="26" w:name="_Toc21706"/>
      <w:bookmarkStart w:id="27" w:name="_Toc19788"/>
      <w:bookmarkStart w:id="28" w:name="OLE_LINK2"/>
      <w:r>
        <w:rPr>
          <w:rFonts w:hint="eastAsia" w:ascii="仿宋_GB2312" w:hAnsi="仿宋_GB2312" w:eastAsia="仿宋_GB2312" w:cs="仿宋_GB2312"/>
          <w:sz w:val="32"/>
          <w:szCs w:val="32"/>
          <w:highlight w:val="none"/>
        </w:rPr>
        <w:t>（一）在中华人民共和国境内注册且合法存续的企业法人。</w:t>
      </w:r>
      <w:bookmarkEnd w:id="26"/>
      <w:bookmarkEnd w:id="27"/>
    </w:p>
    <w:p w14:paraId="07017AF4">
      <w:pPr>
        <w:wordWrap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（二）营业执照经营范围需道路货物运输且企业取得《道路运输经营许可证》。</w:t>
      </w:r>
    </w:p>
    <w:p w14:paraId="08C828AE">
      <w:pPr>
        <w:wordWrap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近2年内未被国家企业信用信息公示系统列入经营异常名录或者严重违法失信名单的（应提供企业在国家企业信用信息公示系统http://www.gsxt.gov.cn中公示的“企业信用信息”之“基础信息”“列入经营异常名录”“列入严重违法失信企业名单（黑名单）信息”（网页截图））。</w:t>
      </w:r>
    </w:p>
    <w:p w14:paraId="01CD6206">
      <w:pPr>
        <w:wordWrap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）企业、法定代表人未被列入失信被执行人名单（应提供企业、企业法定代表人在中国执行信息公开网http://zxgk.court.gov.cn中“综合查询被执行人-全国法院”查询的信息（网页截图））。</w:t>
      </w:r>
    </w:p>
    <w:p w14:paraId="1B65FCDB">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）符合国家法律、行政法规规定的其他条件。</w:t>
      </w:r>
    </w:p>
    <w:p w14:paraId="32A2305B">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）本项目不接受联合体</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highlight w:val="none"/>
        </w:rPr>
        <w:t>，不得转租、转让。</w:t>
      </w:r>
    </w:p>
    <w:p w14:paraId="1325E1E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）法定代表人为同一个人的两个及两个以上法人，母公司、全资子公司及其控股公司，存在资产关联关系的单位，不得在本次</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活动中同时提交</w:t>
      </w:r>
      <w:r>
        <w:rPr>
          <w:rFonts w:hint="eastAsia" w:ascii="仿宋_GB2312" w:hAnsi="仿宋_GB2312" w:eastAsia="仿宋_GB2312" w:cs="仿宋_GB2312"/>
          <w:sz w:val="32"/>
          <w:szCs w:val="32"/>
          <w:highlight w:val="none"/>
          <w:lang w:val="en-US" w:eastAsia="zh-CN"/>
        </w:rPr>
        <w:t>响应文件</w:t>
      </w:r>
      <w:r>
        <w:rPr>
          <w:rFonts w:hint="eastAsia" w:ascii="仿宋_GB2312" w:hAnsi="仿宋_GB2312" w:eastAsia="仿宋_GB2312" w:cs="仿宋_GB2312"/>
          <w:sz w:val="32"/>
          <w:szCs w:val="32"/>
          <w:highlight w:val="none"/>
        </w:rPr>
        <w:t>。</w:t>
      </w:r>
    </w:p>
    <w:bookmarkEnd w:id="28"/>
    <w:p w14:paraId="2F57783D">
      <w:pPr>
        <w:spacing w:line="560" w:lineRule="exact"/>
        <w:ind w:firstLine="643" w:firstLineChars="200"/>
        <w:outlineLvl w:val="0"/>
        <w:rPr>
          <w:rFonts w:ascii="仿宋_GB2312" w:hAnsi="仿宋_GB2312" w:eastAsia="仿宋_GB2312" w:cs="仿宋_GB2312"/>
          <w:b/>
          <w:sz w:val="32"/>
          <w:szCs w:val="32"/>
          <w:highlight w:val="none"/>
        </w:rPr>
      </w:pPr>
      <w:bookmarkStart w:id="29" w:name="_Toc13870"/>
      <w:bookmarkStart w:id="30" w:name="_Toc1301"/>
      <w:bookmarkStart w:id="31" w:name="_Toc23288"/>
      <w:bookmarkStart w:id="32" w:name="_Toc8793"/>
      <w:bookmarkStart w:id="33" w:name="_Toc24219"/>
      <w:r>
        <w:rPr>
          <w:rFonts w:hint="eastAsia" w:ascii="仿宋_GB2312" w:hAnsi="仿宋_GB2312" w:eastAsia="仿宋_GB2312" w:cs="仿宋_GB2312"/>
          <w:b/>
          <w:sz w:val="32"/>
          <w:szCs w:val="32"/>
          <w:highlight w:val="none"/>
        </w:rPr>
        <w:t>三、采购文件获取方式</w:t>
      </w:r>
      <w:bookmarkEnd w:id="29"/>
      <w:bookmarkEnd w:id="30"/>
      <w:bookmarkEnd w:id="31"/>
      <w:bookmarkEnd w:id="32"/>
      <w:bookmarkEnd w:id="33"/>
    </w:p>
    <w:p w14:paraId="49AC8D88">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凡有意参加本项目的供应商采用以下两种方式获取采购文件：</w:t>
      </w:r>
    </w:p>
    <w:p w14:paraId="4FF726EC">
      <w:pPr>
        <w:wordWrap w:val="0"/>
        <w:spacing w:line="560" w:lineRule="exact"/>
        <w:ind w:firstLine="640" w:firstLineChars="200"/>
        <w:rPr>
          <w:rStyle w:val="37"/>
          <w:rFonts w:hint="eastAsia" w:ascii="仿宋_GB2312" w:hAnsi="仿宋_GB2312" w:eastAsia="仿宋_GB2312" w:cs="仿宋_GB2312"/>
          <w:color w:val="auto"/>
          <w:sz w:val="32"/>
          <w:szCs w:val="32"/>
          <w:highlight w:val="none"/>
          <w:u w:val="none"/>
          <w:lang w:val="en-US" w:eastAsia="zh-CN"/>
        </w:rPr>
      </w:pPr>
      <w:r>
        <w:rPr>
          <w:rStyle w:val="37"/>
          <w:rFonts w:hint="eastAsia" w:ascii="仿宋_GB2312" w:hAnsi="仿宋_GB2312" w:eastAsia="仿宋_GB2312" w:cs="仿宋_GB2312"/>
          <w:color w:val="auto"/>
          <w:sz w:val="32"/>
          <w:szCs w:val="32"/>
          <w:highlight w:val="none"/>
          <w:u w:val="none"/>
          <w:lang w:val="en-US" w:eastAsia="zh-CN"/>
        </w:rPr>
        <w:t>（一）意向参与本项目的供应商自行在本项目响应文件递交截止时间前访问福建省高速公路集团有限公司官网（www.fjgsgl.com）、中国采购与招标网（http://www.chinabidding.com.cn/)、福建高速集采平台（https://gsjc.fjetc.com/)下载采购文件。</w:t>
      </w:r>
    </w:p>
    <w:p w14:paraId="55FF953A">
      <w:pPr>
        <w:wordWrap w:val="0"/>
        <w:spacing w:line="560" w:lineRule="exact"/>
        <w:ind w:firstLine="640" w:firstLineChars="200"/>
        <w:rPr>
          <w:rFonts w:ascii="仿宋_GB2312" w:hAnsi="仿宋_GB2312" w:eastAsia="仿宋_GB2312" w:cs="仿宋_GB2312"/>
          <w:sz w:val="32"/>
          <w:szCs w:val="32"/>
          <w:highlight w:val="none"/>
        </w:rPr>
      </w:pPr>
      <w:r>
        <w:rPr>
          <w:rStyle w:val="37"/>
          <w:rFonts w:hint="eastAsia" w:ascii="仿宋_GB2312" w:hAnsi="仿宋_GB2312" w:eastAsia="仿宋_GB2312" w:cs="仿宋_GB2312"/>
          <w:color w:val="auto"/>
          <w:sz w:val="32"/>
          <w:szCs w:val="32"/>
          <w:highlight w:val="none"/>
          <w:u w:val="none"/>
          <w:lang w:val="en-US" w:eastAsia="zh-CN"/>
        </w:rPr>
        <w:t>（二）意向参与本项目的供应商于2025年11月11</w:t>
      </w:r>
      <w:r>
        <w:rPr>
          <w:rStyle w:val="37"/>
          <w:rFonts w:hint="eastAsia" w:ascii="仿宋_GB2312" w:hAnsi="仿宋_GB2312" w:eastAsia="仿宋_GB2312" w:cs="仿宋_GB2312"/>
          <w:color w:val="auto"/>
          <w:sz w:val="32"/>
          <w:szCs w:val="32"/>
          <w:highlight w:val="none"/>
          <w:u w:val="none"/>
        </w:rPr>
        <w:t>日至</w:t>
      </w:r>
      <w:r>
        <w:rPr>
          <w:rStyle w:val="37"/>
          <w:rFonts w:hint="eastAsia" w:ascii="仿宋_GB2312" w:hAnsi="仿宋_GB2312" w:eastAsia="仿宋_GB2312" w:cs="仿宋_GB2312"/>
          <w:color w:val="auto"/>
          <w:sz w:val="32"/>
          <w:szCs w:val="32"/>
          <w:highlight w:val="none"/>
          <w:u w:val="none"/>
          <w:lang w:val="en-US" w:eastAsia="zh-CN"/>
        </w:rPr>
        <w:t>11</w:t>
      </w:r>
      <w:r>
        <w:rPr>
          <w:rStyle w:val="37"/>
          <w:rFonts w:hint="eastAsia" w:ascii="仿宋_GB2312" w:hAnsi="仿宋_GB2312" w:eastAsia="仿宋_GB2312" w:cs="仿宋_GB2312"/>
          <w:color w:val="auto"/>
          <w:sz w:val="32"/>
          <w:szCs w:val="32"/>
          <w:highlight w:val="none"/>
          <w:u w:val="none"/>
        </w:rPr>
        <w:t>月</w:t>
      </w:r>
      <w:r>
        <w:rPr>
          <w:rStyle w:val="37"/>
          <w:rFonts w:hint="eastAsia" w:ascii="仿宋_GB2312" w:hAnsi="仿宋_GB2312" w:eastAsia="仿宋_GB2312" w:cs="仿宋_GB2312"/>
          <w:color w:val="auto"/>
          <w:sz w:val="32"/>
          <w:szCs w:val="32"/>
          <w:highlight w:val="none"/>
          <w:u w:val="none"/>
          <w:lang w:val="en-US" w:eastAsia="zh-CN"/>
        </w:rPr>
        <w:t>18</w:t>
      </w:r>
      <w:r>
        <w:rPr>
          <w:rFonts w:hint="eastAsia" w:ascii="仿宋_GB2312" w:hAnsi="仿宋_GB2312" w:eastAsia="仿宋_GB2312" w:cs="仿宋_GB2312"/>
          <w:sz w:val="32"/>
          <w:szCs w:val="32"/>
          <w:highlight w:val="none"/>
        </w:rPr>
        <w:t>日（法定公休日及法定节假日除外）每天</w:t>
      </w:r>
      <w:r>
        <w:rPr>
          <w:rFonts w:ascii="仿宋_GB2312" w:hAnsi="仿宋_GB2312" w:eastAsia="仿宋_GB2312" w:cs="仿宋_GB2312"/>
          <w:sz w:val="32"/>
          <w:szCs w:val="32"/>
          <w:highlight w:val="none"/>
        </w:rPr>
        <w:t>9:00</w:t>
      </w:r>
      <w:r>
        <w:rPr>
          <w:rFonts w:hint="eastAsia" w:ascii="仿宋_GB2312" w:hAnsi="仿宋_GB2312" w:eastAsia="仿宋_GB2312" w:cs="仿宋_GB2312"/>
          <w:sz w:val="32"/>
          <w:szCs w:val="32"/>
          <w:highlight w:val="none"/>
        </w:rPr>
        <w:t>—17:00，到</w:t>
      </w:r>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（福建省福州市鼓楼区东水路18号交通运输厅26楼）领取询价采购文件</w:t>
      </w:r>
      <w:r>
        <w:rPr>
          <w:rFonts w:hint="eastAsia" w:ascii="仿宋_GB2312" w:hAnsi="仿宋_GB2312" w:eastAsia="仿宋_GB2312" w:cs="仿宋_GB2312"/>
          <w:sz w:val="32"/>
          <w:szCs w:val="32"/>
          <w:highlight w:val="none"/>
          <w:lang w:val="en-US" w:eastAsia="zh-CN"/>
        </w:rPr>
        <w:t>或自行从官网下载</w:t>
      </w:r>
      <w:r>
        <w:rPr>
          <w:rFonts w:hint="eastAsia" w:ascii="仿宋_GB2312" w:hAnsi="仿宋_GB2312" w:eastAsia="仿宋_GB2312" w:cs="仿宋_GB2312"/>
          <w:sz w:val="32"/>
          <w:szCs w:val="32"/>
          <w:highlight w:val="none"/>
        </w:rPr>
        <w:t>。</w:t>
      </w:r>
    </w:p>
    <w:p w14:paraId="0995B401">
      <w:pPr>
        <w:spacing w:line="560" w:lineRule="exact"/>
        <w:ind w:firstLine="643" w:firstLineChars="200"/>
        <w:outlineLvl w:val="0"/>
        <w:rPr>
          <w:rFonts w:ascii="仿宋_GB2312" w:hAnsi="仿宋_GB2312" w:eastAsia="仿宋_GB2312" w:cs="仿宋_GB2312"/>
          <w:sz w:val="32"/>
          <w:szCs w:val="32"/>
          <w:highlight w:val="none"/>
        </w:rPr>
      </w:pPr>
      <w:bookmarkStart w:id="34" w:name="_Toc20987"/>
      <w:bookmarkStart w:id="35" w:name="_Toc13417"/>
      <w:bookmarkStart w:id="36" w:name="_Toc26131"/>
      <w:bookmarkStart w:id="37" w:name="_Toc19478"/>
      <w:bookmarkStart w:id="38" w:name="_Toc4696"/>
      <w:r>
        <w:rPr>
          <w:rFonts w:hint="eastAsia" w:ascii="仿宋_GB2312" w:hAnsi="仿宋_GB2312" w:eastAsia="仿宋_GB2312" w:cs="仿宋_GB2312"/>
          <w:b/>
          <w:sz w:val="32"/>
          <w:szCs w:val="32"/>
          <w:highlight w:val="none"/>
        </w:rPr>
        <w:t>四、响应文件递交方式及递交截止时间</w:t>
      </w:r>
      <w:bookmarkEnd w:id="34"/>
      <w:bookmarkEnd w:id="35"/>
      <w:bookmarkEnd w:id="36"/>
      <w:bookmarkEnd w:id="37"/>
      <w:bookmarkEnd w:id="38"/>
    </w:p>
    <w:p w14:paraId="4F274A94">
      <w:pPr>
        <w:spacing w:line="560" w:lineRule="exact"/>
        <w:ind w:firstLine="640" w:firstLineChars="200"/>
        <w:outlineLvl w:val="1"/>
        <w:rPr>
          <w:rFonts w:ascii="仿宋_GB2312" w:hAnsi="仿宋_GB2312" w:eastAsia="仿宋_GB2312" w:cs="仿宋_GB2312"/>
          <w:bCs/>
          <w:sz w:val="32"/>
          <w:szCs w:val="32"/>
          <w:highlight w:val="none"/>
        </w:rPr>
      </w:pPr>
      <w:bookmarkStart w:id="39" w:name="_Toc31488"/>
      <w:bookmarkStart w:id="40" w:name="_Toc6177"/>
      <w:r>
        <w:rPr>
          <w:rFonts w:hint="eastAsia" w:ascii="仿宋_GB2312" w:hAnsi="仿宋_GB2312" w:eastAsia="仿宋_GB2312" w:cs="仿宋_GB2312"/>
          <w:bCs/>
          <w:sz w:val="32"/>
          <w:szCs w:val="32"/>
          <w:highlight w:val="none"/>
        </w:rPr>
        <w:t>（一）响应文件递交方式</w:t>
      </w:r>
      <w:bookmarkEnd w:id="39"/>
      <w:bookmarkEnd w:id="40"/>
    </w:p>
    <w:p w14:paraId="3164DCCB">
      <w:pPr>
        <w:spacing w:line="56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本项目可采用以下两种方式送达响应文件：</w:t>
      </w:r>
    </w:p>
    <w:p w14:paraId="05772719">
      <w:pPr>
        <w:spacing w:line="560" w:lineRule="exact"/>
        <w:ind w:firstLine="640" w:firstLineChars="200"/>
        <w:rPr>
          <w:rFonts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rPr>
        <w:t>邮寄递交：供应商应在响应递交截止时间前将响应文件按照询价采购文件规定包封后快递送达福州市鼓楼区东水路18号交通综合大楼26层，采购人以签收响应文件时间确定为递交时间。</w:t>
      </w:r>
    </w:p>
    <w:p w14:paraId="4723AB45">
      <w:pPr>
        <w:spacing w:line="56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收件信息如下：</w:t>
      </w:r>
    </w:p>
    <w:p w14:paraId="3E6E50F4">
      <w:pPr>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邮寄地址：福州市鼓楼区东水路18号交通综合大楼26层</w:t>
      </w:r>
      <w:r>
        <w:rPr>
          <w:rFonts w:hint="eastAsia" w:ascii="仿宋_GB2312" w:hAnsi="仿宋_GB2312" w:eastAsia="仿宋_GB2312" w:cs="仿宋_GB2312"/>
          <w:bCs/>
          <w:sz w:val="32"/>
          <w:szCs w:val="32"/>
          <w:highlight w:val="none"/>
          <w:lang w:eastAsia="zh-CN"/>
        </w:rPr>
        <w:t>福路通资源循环（福建）有限公司</w:t>
      </w:r>
    </w:p>
    <w:p w14:paraId="29248725">
      <w:pPr>
        <w:spacing w:line="56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收件人：李先生</w:t>
      </w:r>
    </w:p>
    <w:p w14:paraId="79615C7F">
      <w:pPr>
        <w:spacing w:line="560" w:lineRule="exact"/>
        <w:ind w:firstLine="640" w:firstLineChars="200"/>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联系电话：</w:t>
      </w:r>
      <w:r>
        <w:rPr>
          <w:rFonts w:hint="eastAsia" w:ascii="仿宋_GB2312" w:hAnsi="仿宋_GB2312" w:eastAsia="仿宋_GB2312" w:cs="仿宋_GB2312"/>
          <w:bCs/>
          <w:sz w:val="32"/>
          <w:szCs w:val="32"/>
          <w:highlight w:val="none"/>
          <w:lang w:val="en-US" w:eastAsia="zh-CN"/>
        </w:rPr>
        <w:t>0591-87077059</w:t>
      </w:r>
    </w:p>
    <w:p w14:paraId="27266DF9">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bCs/>
          <w:sz w:val="32"/>
          <w:szCs w:val="32"/>
          <w:highlight w:val="none"/>
        </w:rPr>
        <w:t>2.</w:t>
      </w:r>
      <w:r>
        <w:rPr>
          <w:rFonts w:hint="eastAsia" w:ascii="仿宋_GB2312" w:hAnsi="仿宋_GB2312" w:eastAsia="仿宋_GB2312" w:cs="仿宋_GB2312"/>
          <w:bCs/>
          <w:sz w:val="32"/>
          <w:szCs w:val="32"/>
          <w:highlight w:val="none"/>
        </w:rPr>
        <w:t>现场递交：供应商应在响应文件递交截止时间前由供应商法定代表人或其授权代表将纸质响应文件按照询价采购文件规定包封后递交</w:t>
      </w:r>
      <w:r>
        <w:rPr>
          <w:rFonts w:hint="eastAsia" w:ascii="仿宋_GB2312" w:hAnsi="仿宋_GB2312" w:eastAsia="仿宋_GB2312" w:cs="仿宋_GB2312"/>
          <w:sz w:val="32"/>
          <w:szCs w:val="32"/>
          <w:highlight w:val="none"/>
        </w:rPr>
        <w:t>至</w:t>
      </w:r>
      <w:bookmarkStart w:id="41" w:name="OLE_LINK1"/>
      <w:r>
        <w:rPr>
          <w:rFonts w:hint="eastAsia" w:ascii="仿宋_GB2312" w:hAnsi="仿宋_GB2312" w:eastAsia="仿宋_GB2312" w:cs="仿宋_GB2312"/>
          <w:sz w:val="32"/>
          <w:szCs w:val="32"/>
          <w:highlight w:val="none"/>
          <w:u w:val="none"/>
        </w:rPr>
        <w:t>福</w:t>
      </w:r>
      <w:r>
        <w:rPr>
          <w:rFonts w:hint="eastAsia" w:ascii="仿宋_GB2312" w:hAnsi="仿宋_GB2312" w:eastAsia="仿宋_GB2312" w:cs="仿宋_GB2312"/>
          <w:sz w:val="32"/>
          <w:szCs w:val="32"/>
          <w:highlight w:val="none"/>
        </w:rPr>
        <w:t>建省福州市鼓楼区东水路18号交通运输厅26楼</w:t>
      </w:r>
      <w:bookmarkEnd w:id="41"/>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出席代表需携带法人代表证明或法人授权委托书、身份证原件及盖有单位公章的上述资料复印件</w:t>
      </w:r>
      <w:r>
        <w:rPr>
          <w:rFonts w:hint="eastAsia" w:ascii="仿宋_GB2312" w:hAnsi="仿宋_GB2312" w:eastAsia="仿宋_GB2312" w:cs="仿宋_GB2312"/>
          <w:sz w:val="32"/>
          <w:szCs w:val="32"/>
          <w:highlight w:val="none"/>
        </w:rPr>
        <w:t>以供审查，未按要求提交投标文件将被拒绝。</w:t>
      </w:r>
    </w:p>
    <w:p w14:paraId="0855AA6C">
      <w:pPr>
        <w:spacing w:line="560" w:lineRule="exact"/>
        <w:ind w:firstLine="640" w:firstLineChars="200"/>
        <w:rPr>
          <w:rFonts w:ascii="仿宋_GB2312" w:hAnsi="仿宋_GB2312" w:eastAsia="仿宋_GB2312" w:cs="仿宋_GB2312"/>
          <w:sz w:val="32"/>
          <w:szCs w:val="32"/>
          <w:highlight w:val="none"/>
        </w:rPr>
      </w:pPr>
      <w:bookmarkStart w:id="42" w:name="_Toc19577"/>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响应文件递交截止时间</w:t>
      </w:r>
      <w:bookmarkEnd w:id="42"/>
    </w:p>
    <w:p w14:paraId="5977B737">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u w:val="single"/>
        </w:rPr>
        <w:t>2025</w:t>
      </w:r>
      <w:r>
        <w:rPr>
          <w:rFonts w:hint="eastAsia" w:ascii="仿宋_GB2312" w:hAnsi="仿宋_GB2312" w:eastAsia="仿宋_GB2312" w:cs="仿宋_GB2312"/>
          <w:sz w:val="32"/>
          <w:szCs w:val="32"/>
          <w:highlight w:val="none"/>
          <w:u w:val="single"/>
        </w:rPr>
        <w:t>年</w:t>
      </w:r>
      <w:r>
        <w:rPr>
          <w:rFonts w:hint="eastAsia" w:ascii="仿宋_GB2312" w:hAnsi="仿宋_GB2312" w:eastAsia="仿宋_GB2312" w:cs="仿宋_GB2312"/>
          <w:sz w:val="32"/>
          <w:szCs w:val="32"/>
          <w:highlight w:val="none"/>
          <w:u w:val="single"/>
          <w:lang w:val="en-US" w:eastAsia="zh-CN"/>
        </w:rPr>
        <w:t>11</w:t>
      </w:r>
      <w:r>
        <w:rPr>
          <w:rFonts w:hint="eastAsia" w:ascii="仿宋_GB2312" w:hAnsi="仿宋_GB2312" w:eastAsia="仿宋_GB2312" w:cs="仿宋_GB2312"/>
          <w:sz w:val="32"/>
          <w:szCs w:val="32"/>
          <w:highlight w:val="none"/>
          <w:u w:val="single"/>
        </w:rPr>
        <w:t>月</w:t>
      </w:r>
      <w:r>
        <w:rPr>
          <w:rFonts w:hint="eastAsia" w:ascii="仿宋_GB2312" w:hAnsi="仿宋_GB2312" w:eastAsia="仿宋_GB2312" w:cs="仿宋_GB2312"/>
          <w:sz w:val="32"/>
          <w:szCs w:val="32"/>
          <w:highlight w:val="none"/>
          <w:u w:val="single"/>
          <w:lang w:val="en-US" w:eastAsia="zh-CN"/>
        </w:rPr>
        <w:t>19</w:t>
      </w:r>
      <w:r>
        <w:rPr>
          <w:rFonts w:hint="eastAsia" w:ascii="仿宋_GB2312" w:hAnsi="仿宋_GB2312" w:eastAsia="仿宋_GB2312" w:cs="仿宋_GB2312"/>
          <w:sz w:val="32"/>
          <w:szCs w:val="32"/>
          <w:highlight w:val="none"/>
          <w:u w:val="single"/>
        </w:rPr>
        <w:t>日上午</w:t>
      </w:r>
      <w:r>
        <w:rPr>
          <w:rFonts w:ascii="仿宋_GB2312" w:hAnsi="仿宋_GB2312" w:eastAsia="仿宋_GB2312" w:cs="仿宋_GB2312"/>
          <w:sz w:val="32"/>
          <w:szCs w:val="32"/>
          <w:highlight w:val="none"/>
          <w:u w:val="single"/>
        </w:rPr>
        <w:t>9:30</w:t>
      </w:r>
      <w:r>
        <w:rPr>
          <w:rFonts w:hint="eastAsia" w:ascii="仿宋_GB2312" w:hAnsi="仿宋_GB2312" w:eastAsia="仿宋_GB2312" w:cs="仿宋_GB2312"/>
          <w:sz w:val="32"/>
          <w:szCs w:val="32"/>
          <w:highlight w:val="none"/>
        </w:rPr>
        <w:t>（北京时间），逾期送达的或不符合采购文件规定的响应文件将被拒绝。</w:t>
      </w:r>
    </w:p>
    <w:p w14:paraId="60BCABD8">
      <w:pPr>
        <w:spacing w:line="560" w:lineRule="exact"/>
        <w:ind w:firstLine="643" w:firstLineChars="200"/>
        <w:jc w:val="left"/>
        <w:outlineLvl w:val="0"/>
        <w:rPr>
          <w:rFonts w:ascii="仿宋_GB2312" w:hAnsi="仿宋_GB2312" w:eastAsia="仿宋_GB2312" w:cs="仿宋_GB2312"/>
          <w:bCs/>
          <w:sz w:val="32"/>
          <w:szCs w:val="32"/>
          <w:highlight w:val="none"/>
        </w:rPr>
      </w:pPr>
      <w:bookmarkStart w:id="43" w:name="_Toc14480"/>
      <w:bookmarkStart w:id="44" w:name="_Toc17721"/>
      <w:bookmarkStart w:id="45" w:name="_Toc5555"/>
      <w:bookmarkStart w:id="46" w:name="_Toc9269"/>
      <w:bookmarkStart w:id="47" w:name="_Toc30636"/>
      <w:r>
        <w:rPr>
          <w:rFonts w:hint="eastAsia" w:ascii="仿宋_GB2312" w:hAnsi="仿宋_GB2312" w:eastAsia="仿宋_GB2312" w:cs="仿宋_GB2312"/>
          <w:b/>
          <w:sz w:val="32"/>
          <w:szCs w:val="32"/>
          <w:highlight w:val="none"/>
        </w:rPr>
        <w:t>五、开标评审时间及地点</w:t>
      </w:r>
      <w:bookmarkEnd w:id="43"/>
      <w:bookmarkEnd w:id="44"/>
      <w:bookmarkEnd w:id="45"/>
      <w:bookmarkEnd w:id="46"/>
      <w:bookmarkEnd w:id="47"/>
      <w:bookmarkStart w:id="48" w:name="OLE_LINK3"/>
    </w:p>
    <w:p w14:paraId="06D5053E">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u w:val="single"/>
        </w:rPr>
        <w:t>2025</w:t>
      </w:r>
      <w:r>
        <w:rPr>
          <w:rFonts w:hint="eastAsia" w:ascii="仿宋_GB2312" w:hAnsi="仿宋_GB2312" w:eastAsia="仿宋_GB2312" w:cs="仿宋_GB2312"/>
          <w:sz w:val="32"/>
          <w:szCs w:val="32"/>
          <w:highlight w:val="none"/>
          <w:u w:val="single"/>
        </w:rPr>
        <w:t>年</w:t>
      </w:r>
      <w:bookmarkEnd w:id="48"/>
      <w:r>
        <w:rPr>
          <w:rFonts w:hint="eastAsia" w:ascii="仿宋_GB2312" w:hAnsi="仿宋_GB2312" w:eastAsia="仿宋_GB2312" w:cs="仿宋_GB2312"/>
          <w:sz w:val="32"/>
          <w:szCs w:val="32"/>
          <w:highlight w:val="none"/>
          <w:u w:val="single"/>
          <w:lang w:val="en-US" w:eastAsia="zh-CN"/>
        </w:rPr>
        <w:t>11</w:t>
      </w:r>
      <w:r>
        <w:rPr>
          <w:rFonts w:hint="eastAsia" w:ascii="仿宋_GB2312" w:hAnsi="仿宋_GB2312" w:eastAsia="仿宋_GB2312" w:cs="仿宋_GB2312"/>
          <w:sz w:val="32"/>
          <w:szCs w:val="32"/>
          <w:highlight w:val="none"/>
          <w:u w:val="single"/>
        </w:rPr>
        <w:t>月</w:t>
      </w:r>
      <w:r>
        <w:rPr>
          <w:rFonts w:hint="eastAsia" w:ascii="仿宋_GB2312" w:hAnsi="仿宋_GB2312" w:eastAsia="仿宋_GB2312" w:cs="仿宋_GB2312"/>
          <w:sz w:val="32"/>
          <w:szCs w:val="32"/>
          <w:highlight w:val="none"/>
          <w:u w:val="single"/>
          <w:lang w:val="en-US" w:eastAsia="zh-CN"/>
        </w:rPr>
        <w:t>19</w:t>
      </w:r>
      <w:r>
        <w:rPr>
          <w:rFonts w:hint="eastAsia" w:ascii="仿宋_GB2312" w:hAnsi="仿宋_GB2312" w:eastAsia="仿宋_GB2312" w:cs="仿宋_GB2312"/>
          <w:sz w:val="32"/>
          <w:szCs w:val="32"/>
          <w:highlight w:val="none"/>
          <w:u w:val="single"/>
        </w:rPr>
        <w:t>日上午</w:t>
      </w:r>
      <w:r>
        <w:rPr>
          <w:rFonts w:ascii="仿宋_GB2312" w:hAnsi="仿宋_GB2312" w:eastAsia="仿宋_GB2312" w:cs="仿宋_GB2312"/>
          <w:sz w:val="32"/>
          <w:szCs w:val="32"/>
          <w:highlight w:val="none"/>
          <w:u w:val="single"/>
        </w:rPr>
        <w:t>9:30</w:t>
      </w:r>
      <w:r>
        <w:rPr>
          <w:rFonts w:hint="eastAsia" w:ascii="仿宋_GB2312" w:hAnsi="仿宋_GB2312" w:eastAsia="仿宋_GB2312" w:cs="仿宋_GB2312"/>
          <w:sz w:val="32"/>
          <w:szCs w:val="32"/>
          <w:highlight w:val="none"/>
        </w:rPr>
        <w:t>（北京时间），福建省福州市鼓楼区东水路18号交通运输厅26楼</w:t>
      </w:r>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w:t>
      </w:r>
    </w:p>
    <w:p w14:paraId="3536CD6D">
      <w:pPr>
        <w:spacing w:line="560" w:lineRule="exact"/>
        <w:ind w:firstLine="643" w:firstLineChars="200"/>
        <w:jc w:val="left"/>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六、凡对本次</w:t>
      </w:r>
      <w:r>
        <w:rPr>
          <w:rFonts w:hint="eastAsia" w:ascii="仿宋_GB2312" w:hAnsi="仿宋_GB2312" w:eastAsia="仿宋_GB2312" w:cs="仿宋_GB2312"/>
          <w:b/>
          <w:sz w:val="32"/>
          <w:szCs w:val="32"/>
          <w:highlight w:val="none"/>
          <w:lang w:val="en-US" w:eastAsia="zh-CN"/>
        </w:rPr>
        <w:t>询价</w:t>
      </w:r>
      <w:r>
        <w:rPr>
          <w:rFonts w:hint="eastAsia" w:ascii="仿宋_GB2312" w:hAnsi="仿宋_GB2312" w:eastAsia="仿宋_GB2312" w:cs="仿宋_GB2312"/>
          <w:b/>
          <w:sz w:val="32"/>
          <w:szCs w:val="32"/>
          <w:highlight w:val="none"/>
        </w:rPr>
        <w:t>提出咨询澄清或疑问，请在响应文件递交截止时间之前三日以书面形</w:t>
      </w:r>
      <w:r>
        <w:rPr>
          <w:rFonts w:hint="eastAsia" w:ascii="仿宋_GB2312" w:hAnsi="仿宋_GB2312" w:eastAsia="仿宋_GB2312" w:cs="仿宋_GB2312"/>
          <w:b/>
          <w:bCs w:val="0"/>
          <w:sz w:val="32"/>
          <w:szCs w:val="32"/>
          <w:highlight w:val="none"/>
        </w:rPr>
        <w:t>式与</w:t>
      </w:r>
      <w:r>
        <w:rPr>
          <w:rFonts w:hint="eastAsia" w:ascii="仿宋_GB2312" w:hAnsi="仿宋_GB2312" w:eastAsia="仿宋_GB2312" w:cs="仿宋_GB2312"/>
          <w:b/>
          <w:bCs w:val="0"/>
          <w:sz w:val="32"/>
          <w:szCs w:val="32"/>
          <w:highlight w:val="none"/>
          <w:lang w:eastAsia="zh-CN"/>
        </w:rPr>
        <w:t>福路通资源循环（福建）有限公司</w:t>
      </w:r>
      <w:r>
        <w:rPr>
          <w:rFonts w:hint="eastAsia" w:ascii="仿宋_GB2312" w:hAnsi="仿宋_GB2312" w:eastAsia="仿宋_GB2312" w:cs="仿宋_GB2312"/>
          <w:b/>
          <w:sz w:val="32"/>
          <w:szCs w:val="32"/>
          <w:highlight w:val="none"/>
        </w:rPr>
        <w:t>联系。</w:t>
      </w:r>
      <w:r>
        <w:rPr>
          <w:rFonts w:ascii="仿宋_GB2312" w:hAnsi="仿宋_GB2312" w:eastAsia="仿宋_GB2312" w:cs="仿宋_GB2312"/>
          <w:b/>
          <w:sz w:val="32"/>
          <w:szCs w:val="32"/>
          <w:highlight w:val="none"/>
        </w:rPr>
        <w:t xml:space="preserve"> </w:t>
      </w:r>
    </w:p>
    <w:p w14:paraId="1273A764">
      <w:pPr>
        <w:spacing w:line="560" w:lineRule="exact"/>
        <w:ind w:firstLine="643" w:firstLineChars="200"/>
        <w:jc w:val="left"/>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七、</w:t>
      </w:r>
      <w:r>
        <w:rPr>
          <w:rFonts w:hint="eastAsia" w:ascii="仿宋_GB2312" w:hAnsi="仿宋_GB2312" w:eastAsia="仿宋_GB2312" w:cs="仿宋_GB2312"/>
          <w:b/>
          <w:sz w:val="32"/>
          <w:szCs w:val="32"/>
          <w:highlight w:val="none"/>
          <w:lang w:val="en-US" w:eastAsia="zh-CN"/>
        </w:rPr>
        <w:t>询价</w:t>
      </w:r>
      <w:r>
        <w:rPr>
          <w:rFonts w:hint="eastAsia" w:ascii="仿宋_GB2312" w:hAnsi="仿宋_GB2312" w:eastAsia="仿宋_GB2312" w:cs="仿宋_GB2312"/>
          <w:b/>
          <w:sz w:val="32"/>
          <w:szCs w:val="32"/>
          <w:highlight w:val="none"/>
        </w:rPr>
        <w:t>文件和要求如有补充修改，采购人将通过福建省高速公路集团有限公司官网（</w:t>
      </w:r>
      <w:r>
        <w:rPr>
          <w:highlight w:val="none"/>
        </w:rPr>
        <w:fldChar w:fldCharType="begin"/>
      </w:r>
      <w:r>
        <w:rPr>
          <w:highlight w:val="none"/>
        </w:rPr>
        <w:instrText xml:space="preserve"> HYPERLINK "http://www.fjgsgl.com）自行下载,或请于2020年5月" </w:instrText>
      </w:r>
      <w:r>
        <w:rPr>
          <w:highlight w:val="none"/>
        </w:rPr>
        <w:fldChar w:fldCharType="separate"/>
      </w:r>
      <w:r>
        <w:rPr>
          <w:rFonts w:hint="eastAsia" w:ascii="仿宋_GB2312" w:hAnsi="仿宋_GB2312" w:eastAsia="仿宋_GB2312" w:cs="仿宋_GB2312"/>
          <w:b/>
          <w:sz w:val="32"/>
          <w:szCs w:val="32"/>
          <w:highlight w:val="none"/>
        </w:rPr>
        <w:t>www.fjgsgl.com）、</w:t>
      </w:r>
      <w:r>
        <w:rPr>
          <w:rFonts w:hint="eastAsia" w:ascii="仿宋_GB2312" w:hAnsi="仿宋_GB2312" w:eastAsia="仿宋_GB2312" w:cs="仿宋_GB2312"/>
          <w:b/>
          <w:sz w:val="32"/>
          <w:szCs w:val="32"/>
          <w:highlight w:val="none"/>
          <w:lang w:val="en-US" w:eastAsia="zh-CN"/>
        </w:rPr>
        <w:t>中国</w:t>
      </w:r>
      <w:r>
        <w:rPr>
          <w:rFonts w:hint="eastAsia" w:ascii="仿宋_GB2312" w:hAnsi="仿宋_GB2312" w:eastAsia="仿宋_GB2312" w:cs="仿宋_GB2312"/>
          <w:b/>
          <w:sz w:val="32"/>
          <w:szCs w:val="32"/>
          <w:highlight w:val="none"/>
        </w:rPr>
        <w:t>采购与招标网（http://www.chinabidding.com.cn/)、福建高速集采平台（https://gsjc.fjetc.com/)</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t>通知，请供应商自行关注。</w:t>
      </w:r>
    </w:p>
    <w:p w14:paraId="79E9642B">
      <w:pPr>
        <w:spacing w:line="560" w:lineRule="exact"/>
        <w:ind w:firstLine="643" w:firstLineChars="200"/>
        <w:jc w:val="left"/>
        <w:outlineLvl w:val="0"/>
        <w:rPr>
          <w:rFonts w:ascii="仿宋_GB2312" w:hAnsi="仿宋_GB2312" w:eastAsia="仿宋_GB2312" w:cs="仿宋_GB2312"/>
          <w:b/>
          <w:sz w:val="32"/>
          <w:szCs w:val="32"/>
          <w:highlight w:val="none"/>
        </w:rPr>
      </w:pPr>
      <w:bookmarkStart w:id="49" w:name="_Toc17097"/>
      <w:bookmarkStart w:id="50" w:name="_Toc17450"/>
      <w:bookmarkStart w:id="51" w:name="_Toc1155"/>
      <w:bookmarkStart w:id="52" w:name="_Toc30926"/>
      <w:bookmarkStart w:id="53" w:name="_Toc31861"/>
      <w:r>
        <w:rPr>
          <w:rFonts w:hint="eastAsia" w:ascii="仿宋_GB2312" w:hAnsi="仿宋_GB2312" w:eastAsia="仿宋_GB2312" w:cs="仿宋_GB2312"/>
          <w:b/>
          <w:sz w:val="32"/>
          <w:szCs w:val="32"/>
          <w:highlight w:val="none"/>
        </w:rPr>
        <w:t>八、评审办法</w:t>
      </w:r>
      <w:bookmarkEnd w:id="49"/>
      <w:bookmarkEnd w:id="50"/>
      <w:bookmarkEnd w:id="51"/>
      <w:bookmarkEnd w:id="52"/>
      <w:bookmarkEnd w:id="53"/>
    </w:p>
    <w:p w14:paraId="4BF82EFA">
      <w:pPr>
        <w:spacing w:line="560" w:lineRule="exact"/>
        <w:ind w:firstLine="643"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最低价评审法</w:t>
      </w:r>
      <w:r>
        <w:rPr>
          <w:rFonts w:hint="eastAsia" w:ascii="仿宋_GB2312" w:hAnsi="仿宋_GB2312" w:eastAsia="仿宋_GB2312" w:cs="仿宋_GB2312"/>
          <w:bCs/>
          <w:sz w:val="32"/>
          <w:szCs w:val="32"/>
          <w:highlight w:val="none"/>
        </w:rPr>
        <w:t>，具体详见</w:t>
      </w:r>
      <w:r>
        <w:rPr>
          <w:rFonts w:hint="eastAsia" w:ascii="仿宋_GB2312" w:hAnsi="仿宋_GB2312" w:eastAsia="仿宋_GB2312" w:cs="仿宋_GB2312"/>
          <w:bCs/>
          <w:sz w:val="32"/>
          <w:szCs w:val="32"/>
          <w:highlight w:val="none"/>
          <w:lang w:val="en-US" w:eastAsia="zh-CN"/>
        </w:rPr>
        <w:t>询价</w:t>
      </w:r>
      <w:r>
        <w:rPr>
          <w:rFonts w:hint="eastAsia" w:ascii="仿宋_GB2312" w:hAnsi="仿宋_GB2312" w:eastAsia="仿宋_GB2312" w:cs="仿宋_GB2312"/>
          <w:bCs/>
          <w:sz w:val="32"/>
          <w:szCs w:val="32"/>
          <w:highlight w:val="none"/>
        </w:rPr>
        <w:t>文件。</w:t>
      </w:r>
    </w:p>
    <w:p w14:paraId="4E2DDE3A">
      <w:pPr>
        <w:spacing w:line="560" w:lineRule="exact"/>
        <w:rPr>
          <w:rFonts w:hint="eastAsia" w:ascii="仿宋_GB2312" w:hAnsi="仿宋_GB2312" w:eastAsia="仿宋_GB2312" w:cs="仿宋_GB2312"/>
          <w:bCs/>
          <w:sz w:val="32"/>
          <w:szCs w:val="32"/>
          <w:highlight w:val="none"/>
        </w:rPr>
      </w:pPr>
    </w:p>
    <w:p w14:paraId="6AD7C816">
      <w:pPr>
        <w:pStyle w:val="26"/>
        <w:rPr>
          <w:rFonts w:hint="eastAsia" w:ascii="仿宋_GB2312" w:hAnsi="仿宋_GB2312" w:eastAsia="仿宋_GB2312" w:cs="仿宋_GB2312"/>
          <w:bCs/>
          <w:sz w:val="32"/>
          <w:szCs w:val="32"/>
          <w:highlight w:val="none"/>
        </w:rPr>
      </w:pPr>
    </w:p>
    <w:p w14:paraId="22BCFAD8">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Cs/>
          <w:sz w:val="32"/>
          <w:szCs w:val="32"/>
          <w:highlight w:val="none"/>
        </w:rPr>
        <w:t>采购人：</w:t>
      </w:r>
      <w:r>
        <w:rPr>
          <w:rFonts w:hint="eastAsia" w:ascii="仿宋_GB2312" w:hAnsi="仿宋_GB2312" w:eastAsia="仿宋_GB2312" w:cs="仿宋_GB2312"/>
          <w:sz w:val="32"/>
          <w:szCs w:val="32"/>
          <w:highlight w:val="none"/>
          <w:lang w:eastAsia="zh-CN"/>
        </w:rPr>
        <w:t>福路通资源循环（福建）有限公司</w:t>
      </w:r>
    </w:p>
    <w:p w14:paraId="46EFE60B">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地址：福建省福州市鼓楼区东水路18号交通运输厅26楼</w:t>
      </w:r>
      <w:r>
        <w:rPr>
          <w:rFonts w:hint="eastAsia" w:ascii="仿宋_GB2312" w:hAnsi="仿宋_GB2312" w:eastAsia="仿宋_GB2312" w:cs="仿宋_GB2312"/>
          <w:sz w:val="32"/>
          <w:szCs w:val="32"/>
          <w:highlight w:val="none"/>
          <w:lang w:eastAsia="zh-CN"/>
        </w:rPr>
        <w:t>福路通资源循环（福建）有限公司</w:t>
      </w:r>
    </w:p>
    <w:p w14:paraId="7EB9C4D1">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李先生</w:t>
      </w:r>
    </w:p>
    <w:p w14:paraId="37C08514">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bCs/>
          <w:sz w:val="32"/>
          <w:szCs w:val="32"/>
          <w:highlight w:val="none"/>
          <w:lang w:val="en-US" w:eastAsia="zh-CN"/>
        </w:rPr>
        <w:t>0591-87077059</w:t>
      </w:r>
    </w:p>
    <w:p w14:paraId="6FBE338B">
      <w:pPr>
        <w:pStyle w:val="95"/>
        <w:spacing w:line="560" w:lineRule="exact"/>
        <w:ind w:firstLine="64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响应</w:t>
      </w:r>
      <w:r>
        <w:rPr>
          <w:rFonts w:hint="eastAsia" w:ascii="仿宋_GB2312" w:hAnsi="仿宋_GB2312" w:eastAsia="仿宋_GB2312" w:cs="仿宋_GB2312"/>
          <w:sz w:val="32"/>
          <w:szCs w:val="32"/>
          <w:highlight w:val="none"/>
          <w:lang w:val="en-US"/>
        </w:rPr>
        <w:t>保证金汇入账号：</w:t>
      </w:r>
    </w:p>
    <w:p w14:paraId="6ECC4F2F">
      <w:pPr>
        <w:pStyle w:val="95"/>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rPr>
        <w:t>户名：</w:t>
      </w:r>
      <w:r>
        <w:rPr>
          <w:rFonts w:hint="eastAsia" w:ascii="仿宋_GB2312" w:hAnsi="仿宋_GB2312" w:eastAsia="仿宋_GB2312" w:cs="仿宋_GB2312"/>
          <w:sz w:val="32"/>
          <w:szCs w:val="32"/>
          <w:highlight w:val="none"/>
          <w:lang w:val="en-US" w:eastAsia="zh-CN"/>
        </w:rPr>
        <w:t>福路通资源循环（福建）有限公司</w:t>
      </w:r>
    </w:p>
    <w:p w14:paraId="13FC786E">
      <w:pPr>
        <w:pStyle w:val="95"/>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rPr>
        <w:t>开户行：</w:t>
      </w:r>
      <w:r>
        <w:rPr>
          <w:rFonts w:hint="eastAsia" w:ascii="仿宋_GB2312" w:hAnsi="仿宋_GB2312" w:eastAsia="仿宋_GB2312" w:cs="仿宋_GB2312"/>
          <w:sz w:val="32"/>
          <w:szCs w:val="32"/>
          <w:highlight w:val="none"/>
          <w:lang w:val="en-US" w:eastAsia="zh-CN"/>
        </w:rPr>
        <w:t>兴业银行福州华林支行</w:t>
      </w:r>
    </w:p>
    <w:p w14:paraId="2D999FC1">
      <w:pPr>
        <w:pStyle w:val="95"/>
        <w:spacing w:line="56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rPr>
        <w:t>账号：</w:t>
      </w:r>
      <w:r>
        <w:rPr>
          <w:rFonts w:hint="eastAsia" w:ascii="仿宋_GB2312" w:hAnsi="仿宋_GB2312" w:eastAsia="仿宋_GB2312" w:cs="仿宋_GB2312"/>
          <w:sz w:val="32"/>
          <w:szCs w:val="32"/>
          <w:highlight w:val="none"/>
          <w:lang w:val="en-US" w:eastAsia="zh-CN"/>
        </w:rPr>
        <w:t>117130100171111113</w:t>
      </w:r>
    </w:p>
    <w:p w14:paraId="0C62CA2D">
      <w:pPr>
        <w:pStyle w:val="95"/>
        <w:spacing w:line="560" w:lineRule="exact"/>
        <w:ind w:firstLine="64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注明用途：</w:t>
      </w:r>
      <w:r>
        <w:rPr>
          <w:rFonts w:hint="eastAsia" w:ascii="仿宋_GB2312" w:hAnsi="仿宋_GB2312" w:eastAsia="仿宋_GB2312" w:cs="仿宋_GB2312"/>
          <w:sz w:val="32"/>
          <w:szCs w:val="32"/>
          <w:highlight w:val="none"/>
          <w:lang w:val="en-US" w:eastAsia="zh-CN"/>
        </w:rPr>
        <w:t>物流运输响应保证金</w:t>
      </w:r>
    </w:p>
    <w:p w14:paraId="44F2DA3B">
      <w:pPr>
        <w:pStyle w:val="95"/>
        <w:spacing w:line="560" w:lineRule="exact"/>
        <w:ind w:firstLine="640"/>
        <w:rPr>
          <w:rFonts w:ascii="仿宋_GB2312" w:hAnsi="仿宋_GB2312" w:eastAsia="仿宋_GB2312" w:cs="仿宋_GB2312"/>
          <w:sz w:val="32"/>
          <w:szCs w:val="32"/>
          <w:highlight w:val="none"/>
          <w:lang w:val="en-US"/>
        </w:rPr>
      </w:pPr>
    </w:p>
    <w:bookmarkEnd w:id="18"/>
    <w:bookmarkEnd w:id="19"/>
    <w:bookmarkEnd w:id="20"/>
    <w:p w14:paraId="5342CA56">
      <w:pPr>
        <w:spacing w:line="560" w:lineRule="exact"/>
        <w:ind w:firstLine="3520" w:firstLineChars="11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福路通资源循环（福建）有限公司</w:t>
      </w:r>
    </w:p>
    <w:p w14:paraId="2AB6B28B">
      <w:pPr>
        <w:spacing w:line="560" w:lineRule="exact"/>
        <w:ind w:firstLine="5280" w:firstLineChars="1650"/>
        <w:rPr>
          <w:rFonts w:ascii="仿宋_GB2312" w:eastAsia="仿宋_GB2312"/>
          <w:sz w:val="32"/>
          <w:szCs w:val="32"/>
          <w:highlight w:val="none"/>
        </w:rPr>
      </w:pPr>
      <w:r>
        <w:rPr>
          <w:rFonts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r>
        <w:rPr>
          <w:rFonts w:hint="eastAsia" w:ascii="仿宋_GB2312" w:eastAsia="仿宋_GB2312"/>
          <w:sz w:val="32"/>
          <w:szCs w:val="32"/>
          <w:highlight w:val="none"/>
        </w:rPr>
        <w:t xml:space="preserve">    </w:t>
      </w:r>
    </w:p>
    <w:p w14:paraId="0B929CE9">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4"/>
          <w:szCs w:val="44"/>
          <w:highlight w:val="none"/>
        </w:rPr>
      </w:pPr>
      <w:bookmarkStart w:id="54" w:name="_Toc32672"/>
      <w:bookmarkStart w:id="55" w:name="_Toc25255"/>
      <w:bookmarkStart w:id="56" w:name="_Toc16809"/>
      <w:bookmarkStart w:id="57" w:name="_Toc19464"/>
      <w:bookmarkStart w:id="58" w:name="_Toc7871"/>
      <w:bookmarkStart w:id="59" w:name="_Toc28027"/>
      <w:bookmarkStart w:id="60" w:name="_Toc22393"/>
      <w:bookmarkStart w:id="61" w:name="_Toc15048"/>
      <w:bookmarkStart w:id="62" w:name="_Toc7808"/>
      <w:bookmarkStart w:id="63" w:name="_Toc19625"/>
      <w:bookmarkStart w:id="64" w:name="_Toc6301"/>
      <w:bookmarkStart w:id="65" w:name="_Toc20226"/>
      <w:r>
        <w:rPr>
          <w:rFonts w:hint="eastAsia" w:ascii="黑体" w:hAnsi="黑体" w:eastAsia="黑体" w:cs="黑体"/>
          <w:sz w:val="44"/>
          <w:szCs w:val="44"/>
          <w:highlight w:val="none"/>
        </w:rPr>
        <w:t>第二篇  项目采购规格、最高限价及质量要求</w:t>
      </w:r>
      <w:bookmarkEnd w:id="54"/>
      <w:bookmarkEnd w:id="55"/>
      <w:bookmarkEnd w:id="56"/>
      <w:bookmarkEnd w:id="57"/>
      <w:bookmarkEnd w:id="58"/>
      <w:bookmarkEnd w:id="59"/>
      <w:bookmarkEnd w:id="60"/>
      <w:bookmarkEnd w:id="61"/>
      <w:bookmarkEnd w:id="62"/>
      <w:bookmarkEnd w:id="63"/>
      <w:bookmarkEnd w:id="64"/>
      <w:bookmarkEnd w:id="65"/>
    </w:p>
    <w:p w14:paraId="129A60D4">
      <w:pPr>
        <w:keepNext w:val="0"/>
        <w:keepLines w:val="0"/>
        <w:kinsoku/>
        <w:wordWrap/>
        <w:overflowPunct/>
        <w:topLinePunct w:val="0"/>
        <w:autoSpaceDE/>
        <w:autoSpaceDN/>
        <w:bidi w:val="0"/>
        <w:adjustRightInd/>
        <w:spacing w:line="560" w:lineRule="exact"/>
        <w:rPr>
          <w:rFonts w:ascii="仿宋_GB2312" w:eastAsia="仿宋_GB2312"/>
          <w:b/>
          <w:sz w:val="32"/>
          <w:szCs w:val="32"/>
          <w:highlight w:val="none"/>
        </w:rPr>
      </w:pPr>
    </w:p>
    <w:p w14:paraId="478151BF">
      <w:pPr>
        <w:keepNext w:val="0"/>
        <w:keepLines w:val="0"/>
        <w:kinsoku/>
        <w:wordWrap/>
        <w:overflowPunct/>
        <w:topLinePunct w:val="0"/>
        <w:autoSpaceDE/>
        <w:autoSpaceDN/>
        <w:bidi w:val="0"/>
        <w:adjustRightInd/>
        <w:spacing w:line="560" w:lineRule="exact"/>
        <w:ind w:firstLine="643" w:firstLineChars="200"/>
        <w:outlineLvl w:val="0"/>
        <w:rPr>
          <w:rFonts w:ascii="仿宋_GB2312" w:hAnsi="仿宋_GB2312" w:eastAsia="仿宋_GB2312" w:cs="仿宋_GB2312"/>
          <w:b/>
          <w:sz w:val="32"/>
          <w:szCs w:val="32"/>
          <w:highlight w:val="none"/>
        </w:rPr>
      </w:pPr>
      <w:bookmarkStart w:id="66" w:name="_Toc13610"/>
      <w:bookmarkStart w:id="67" w:name="_Toc2381"/>
      <w:bookmarkStart w:id="68" w:name="_Toc4491"/>
      <w:bookmarkStart w:id="69" w:name="_Toc8437"/>
      <w:bookmarkStart w:id="70" w:name="_Toc4552"/>
      <w:bookmarkStart w:id="71" w:name="_Toc7388"/>
      <w:bookmarkStart w:id="72" w:name="_Toc6334"/>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b/>
          <w:sz w:val="32"/>
          <w:szCs w:val="32"/>
          <w:highlight w:val="none"/>
          <w:lang w:val="en-US" w:eastAsia="zh-CN"/>
        </w:rPr>
        <w:t>项目明细</w:t>
      </w:r>
      <w:r>
        <w:rPr>
          <w:rFonts w:hint="eastAsia" w:ascii="仿宋_GB2312" w:hAnsi="仿宋_GB2312" w:eastAsia="仿宋_GB2312" w:cs="仿宋_GB2312"/>
          <w:b/>
          <w:sz w:val="32"/>
          <w:szCs w:val="32"/>
          <w:highlight w:val="none"/>
        </w:rPr>
        <w:t>、最高限价</w:t>
      </w:r>
      <w:bookmarkEnd w:id="66"/>
      <w:bookmarkEnd w:id="67"/>
      <w:bookmarkEnd w:id="68"/>
      <w:bookmarkEnd w:id="69"/>
      <w:bookmarkEnd w:id="70"/>
      <w:bookmarkEnd w:id="71"/>
      <w:bookmarkEnd w:id="72"/>
    </w:p>
    <w:tbl>
      <w:tblPr>
        <w:tblStyle w:val="31"/>
        <w:tblW w:w="9071" w:type="dxa"/>
        <w:jc w:val="center"/>
        <w:tblLayout w:type="fixed"/>
        <w:tblCellMar>
          <w:top w:w="0" w:type="dxa"/>
          <w:left w:w="108" w:type="dxa"/>
          <w:bottom w:w="0" w:type="dxa"/>
          <w:right w:w="108" w:type="dxa"/>
        </w:tblCellMar>
      </w:tblPr>
      <w:tblGrid>
        <w:gridCol w:w="934"/>
        <w:gridCol w:w="1146"/>
        <w:gridCol w:w="2254"/>
        <w:gridCol w:w="1579"/>
        <w:gridCol w:w="1579"/>
        <w:gridCol w:w="1579"/>
      </w:tblGrid>
      <w:tr w14:paraId="00119C16">
        <w:tblPrEx>
          <w:tblCellMar>
            <w:top w:w="0" w:type="dxa"/>
            <w:left w:w="108" w:type="dxa"/>
            <w:bottom w:w="0" w:type="dxa"/>
            <w:right w:w="108" w:type="dxa"/>
          </w:tblCellMar>
        </w:tblPrEx>
        <w:trPr>
          <w:trHeight w:val="755" w:hRule="atLeast"/>
          <w:jc w:val="center"/>
        </w:trPr>
        <w:tc>
          <w:tcPr>
            <w:tcW w:w="9071" w:type="dxa"/>
            <w:gridSpan w:val="6"/>
            <w:tcBorders>
              <w:top w:val="nil"/>
              <w:left w:val="nil"/>
              <w:bottom w:val="single" w:color="auto" w:sz="4" w:space="0"/>
              <w:right w:val="nil"/>
            </w:tcBorders>
            <w:noWrap/>
            <w:vAlign w:val="center"/>
          </w:tcPr>
          <w:p w14:paraId="1C4A2626">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eastAsia="zh-CN"/>
              </w:rPr>
              <w:t>202</w:t>
            </w:r>
            <w:r>
              <w:rPr>
                <w:rFonts w:hint="eastAsia" w:ascii="仿宋_GB2312" w:hAnsi="仿宋_GB2312" w:eastAsia="仿宋_GB2312" w:cs="仿宋_GB2312"/>
                <w:b/>
                <w:bCs/>
                <w:color w:val="000000"/>
                <w:kern w:val="0"/>
                <w:sz w:val="32"/>
                <w:szCs w:val="32"/>
                <w:lang w:val="en-US" w:eastAsia="zh-CN"/>
              </w:rPr>
              <w:t>5</w:t>
            </w:r>
            <w:r>
              <w:rPr>
                <w:rFonts w:hint="eastAsia" w:ascii="仿宋_GB2312" w:hAnsi="仿宋_GB2312" w:eastAsia="仿宋_GB2312" w:cs="仿宋_GB2312"/>
                <w:b/>
                <w:bCs/>
                <w:color w:val="000000"/>
                <w:kern w:val="0"/>
                <w:sz w:val="32"/>
                <w:szCs w:val="32"/>
                <w:lang w:eastAsia="zh-CN"/>
              </w:rPr>
              <w:t>年</w:t>
            </w:r>
            <w:r>
              <w:rPr>
                <w:rFonts w:hint="eastAsia" w:ascii="仿宋_GB2312" w:hAnsi="仿宋_GB2312" w:eastAsia="仿宋_GB2312" w:cs="仿宋_GB2312"/>
                <w:b/>
                <w:bCs/>
                <w:color w:val="000000"/>
                <w:kern w:val="0"/>
                <w:sz w:val="32"/>
                <w:szCs w:val="32"/>
                <w:lang w:val="en-US" w:eastAsia="zh-CN"/>
              </w:rPr>
              <w:t>物流运输服务</w:t>
            </w:r>
            <w:r>
              <w:rPr>
                <w:rFonts w:hint="eastAsia" w:ascii="仿宋_GB2312" w:hAnsi="仿宋_GB2312" w:eastAsia="仿宋_GB2312" w:cs="仿宋_GB2312"/>
                <w:b/>
                <w:bCs/>
                <w:color w:val="000000"/>
                <w:kern w:val="0"/>
                <w:sz w:val="32"/>
                <w:szCs w:val="32"/>
              </w:rPr>
              <w:t>采购</w:t>
            </w:r>
            <w:r>
              <w:rPr>
                <w:rFonts w:hint="eastAsia" w:ascii="仿宋_GB2312" w:hAnsi="仿宋_GB2312" w:eastAsia="仿宋_GB2312" w:cs="仿宋_GB2312"/>
                <w:b/>
                <w:bCs/>
                <w:color w:val="000000"/>
                <w:kern w:val="0"/>
                <w:sz w:val="32"/>
                <w:szCs w:val="32"/>
                <w:lang w:val="en-US" w:eastAsia="zh-CN"/>
              </w:rPr>
              <w:t>最高限价</w:t>
            </w:r>
          </w:p>
        </w:tc>
      </w:tr>
      <w:tr w14:paraId="4B580602">
        <w:tblPrEx>
          <w:tblCellMar>
            <w:top w:w="0" w:type="dxa"/>
            <w:left w:w="108" w:type="dxa"/>
            <w:bottom w:w="0" w:type="dxa"/>
            <w:right w:w="108" w:type="dxa"/>
          </w:tblCellMar>
        </w:tblPrEx>
        <w:trPr>
          <w:trHeight w:val="480" w:hRule="atLeast"/>
          <w:jc w:val="center"/>
        </w:trPr>
        <w:tc>
          <w:tcPr>
            <w:tcW w:w="934" w:type="dxa"/>
            <w:tcBorders>
              <w:top w:val="nil"/>
              <w:left w:val="single" w:color="auto" w:sz="4" w:space="0"/>
              <w:bottom w:val="single" w:color="auto" w:sz="4" w:space="0"/>
              <w:right w:val="single" w:color="auto" w:sz="4" w:space="0"/>
            </w:tcBorders>
            <w:noWrap w:val="0"/>
            <w:vAlign w:val="center"/>
          </w:tcPr>
          <w:p w14:paraId="523EF58E">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序号</w:t>
            </w:r>
          </w:p>
        </w:tc>
        <w:tc>
          <w:tcPr>
            <w:tcW w:w="1146" w:type="dxa"/>
            <w:tcBorders>
              <w:top w:val="nil"/>
              <w:left w:val="nil"/>
              <w:bottom w:val="single" w:color="auto" w:sz="4" w:space="0"/>
              <w:right w:val="single" w:color="auto" w:sz="4" w:space="0"/>
            </w:tcBorders>
            <w:noWrap w:val="0"/>
            <w:vAlign w:val="center"/>
          </w:tcPr>
          <w:p w14:paraId="415DC14E">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项目</w:t>
            </w:r>
          </w:p>
        </w:tc>
        <w:tc>
          <w:tcPr>
            <w:tcW w:w="2254" w:type="dxa"/>
            <w:tcBorders>
              <w:top w:val="nil"/>
              <w:left w:val="nil"/>
              <w:bottom w:val="single" w:color="auto" w:sz="4" w:space="0"/>
              <w:right w:val="single" w:color="auto" w:sz="4" w:space="0"/>
            </w:tcBorders>
            <w:noWrap w:val="0"/>
            <w:vAlign w:val="center"/>
          </w:tcPr>
          <w:p w14:paraId="06B91DA2">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运距</w:t>
            </w:r>
          </w:p>
        </w:tc>
        <w:tc>
          <w:tcPr>
            <w:tcW w:w="1579" w:type="dxa"/>
            <w:tcBorders>
              <w:top w:val="nil"/>
              <w:left w:val="nil"/>
              <w:bottom w:val="single" w:color="auto" w:sz="4" w:space="0"/>
              <w:right w:val="single" w:color="auto" w:sz="4" w:space="0"/>
            </w:tcBorders>
            <w:noWrap w:val="0"/>
            <w:vAlign w:val="center"/>
          </w:tcPr>
          <w:p w14:paraId="02BAD3DA">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控制单价</w:t>
            </w:r>
          </w:p>
          <w:p w14:paraId="7B6041B6">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（元/吨）</w:t>
            </w:r>
          </w:p>
        </w:tc>
        <w:tc>
          <w:tcPr>
            <w:tcW w:w="1579" w:type="dxa"/>
            <w:tcBorders>
              <w:top w:val="nil"/>
              <w:left w:val="nil"/>
              <w:bottom w:val="single" w:color="auto" w:sz="4" w:space="0"/>
              <w:right w:val="single" w:color="auto" w:sz="4" w:space="0"/>
            </w:tcBorders>
            <w:noWrap w:val="0"/>
            <w:vAlign w:val="center"/>
          </w:tcPr>
          <w:p w14:paraId="0C98A07B">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暂估数量</w:t>
            </w:r>
          </w:p>
          <w:p w14:paraId="2F175C51">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（吨）</w:t>
            </w:r>
          </w:p>
        </w:tc>
        <w:tc>
          <w:tcPr>
            <w:tcW w:w="1579" w:type="dxa"/>
            <w:tcBorders>
              <w:top w:val="nil"/>
              <w:left w:val="nil"/>
              <w:bottom w:val="single" w:color="auto" w:sz="4" w:space="0"/>
              <w:right w:val="single" w:color="auto" w:sz="4" w:space="0"/>
            </w:tcBorders>
            <w:noWrap w:val="0"/>
            <w:vAlign w:val="center"/>
          </w:tcPr>
          <w:p w14:paraId="503FD514">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控制总价</w:t>
            </w:r>
          </w:p>
          <w:p w14:paraId="23766E59">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（元）</w:t>
            </w:r>
          </w:p>
        </w:tc>
      </w:tr>
      <w:tr w14:paraId="18B6E1DA">
        <w:tblPrEx>
          <w:tblCellMar>
            <w:top w:w="0" w:type="dxa"/>
            <w:left w:w="108" w:type="dxa"/>
            <w:bottom w:w="0" w:type="dxa"/>
            <w:right w:w="108" w:type="dxa"/>
          </w:tblCellMar>
        </w:tblPrEx>
        <w:trPr>
          <w:trHeight w:val="283" w:hRule="atLeast"/>
          <w:jc w:val="center"/>
        </w:trPr>
        <w:tc>
          <w:tcPr>
            <w:tcW w:w="934" w:type="dxa"/>
            <w:tcBorders>
              <w:top w:val="nil"/>
              <w:left w:val="single" w:color="auto" w:sz="4" w:space="0"/>
              <w:bottom w:val="single" w:color="auto" w:sz="4" w:space="0"/>
              <w:right w:val="single" w:color="auto" w:sz="4" w:space="0"/>
            </w:tcBorders>
            <w:noWrap w:val="0"/>
            <w:vAlign w:val="center"/>
          </w:tcPr>
          <w:p w14:paraId="378AE6D8">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1146" w:type="dxa"/>
            <w:vMerge w:val="restart"/>
            <w:tcBorders>
              <w:top w:val="nil"/>
              <w:left w:val="nil"/>
              <w:right w:val="single" w:color="auto" w:sz="4" w:space="0"/>
            </w:tcBorders>
            <w:noWrap w:val="0"/>
            <w:vAlign w:val="center"/>
          </w:tcPr>
          <w:p w14:paraId="7E139870">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物流</w:t>
            </w:r>
          </w:p>
          <w:p w14:paraId="361C9326">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运输</w:t>
            </w:r>
          </w:p>
          <w:p w14:paraId="094510B4">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服务</w:t>
            </w:r>
          </w:p>
        </w:tc>
        <w:tc>
          <w:tcPr>
            <w:tcW w:w="2254" w:type="dxa"/>
            <w:tcBorders>
              <w:top w:val="nil"/>
              <w:left w:val="nil"/>
              <w:bottom w:val="single" w:color="auto" w:sz="4" w:space="0"/>
              <w:right w:val="single" w:color="auto" w:sz="4" w:space="0"/>
            </w:tcBorders>
            <w:noWrap w:val="0"/>
            <w:vAlign w:val="center"/>
          </w:tcPr>
          <w:p w14:paraId="7B2523F8">
            <w:pPr>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≤50km</w:t>
            </w:r>
          </w:p>
        </w:tc>
        <w:tc>
          <w:tcPr>
            <w:tcW w:w="1579" w:type="dxa"/>
            <w:tcBorders>
              <w:top w:val="nil"/>
              <w:left w:val="nil"/>
              <w:bottom w:val="single" w:color="auto" w:sz="4" w:space="0"/>
              <w:right w:val="single" w:color="auto" w:sz="4" w:space="0"/>
            </w:tcBorders>
            <w:noWrap w:val="0"/>
            <w:vAlign w:val="center"/>
          </w:tcPr>
          <w:p w14:paraId="57C7BDEB">
            <w:pPr>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37</w:t>
            </w:r>
          </w:p>
        </w:tc>
        <w:tc>
          <w:tcPr>
            <w:tcW w:w="1579" w:type="dxa"/>
            <w:tcBorders>
              <w:top w:val="nil"/>
              <w:left w:val="nil"/>
              <w:bottom w:val="single" w:color="auto" w:sz="4" w:space="0"/>
              <w:right w:val="single" w:color="auto" w:sz="4" w:space="0"/>
            </w:tcBorders>
            <w:noWrap w:val="0"/>
            <w:vAlign w:val="center"/>
          </w:tcPr>
          <w:p w14:paraId="5E6A08D3">
            <w:pPr>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500</w:t>
            </w:r>
          </w:p>
        </w:tc>
        <w:tc>
          <w:tcPr>
            <w:tcW w:w="1579" w:type="dxa"/>
            <w:tcBorders>
              <w:top w:val="nil"/>
              <w:left w:val="nil"/>
              <w:bottom w:val="single" w:color="auto" w:sz="4" w:space="0"/>
              <w:right w:val="single" w:color="auto" w:sz="4" w:space="0"/>
            </w:tcBorders>
            <w:noWrap w:val="0"/>
            <w:vAlign w:val="center"/>
          </w:tcPr>
          <w:p w14:paraId="54EE070E">
            <w:pPr>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18500</w:t>
            </w:r>
          </w:p>
        </w:tc>
      </w:tr>
      <w:tr w14:paraId="5FF9DA46">
        <w:tblPrEx>
          <w:tblCellMar>
            <w:top w:w="0" w:type="dxa"/>
            <w:left w:w="108" w:type="dxa"/>
            <w:bottom w:w="0" w:type="dxa"/>
            <w:right w:w="108" w:type="dxa"/>
          </w:tblCellMar>
        </w:tblPrEx>
        <w:trPr>
          <w:trHeight w:val="283" w:hRule="atLeast"/>
          <w:jc w:val="center"/>
        </w:trPr>
        <w:tc>
          <w:tcPr>
            <w:tcW w:w="934" w:type="dxa"/>
            <w:tcBorders>
              <w:top w:val="nil"/>
              <w:left w:val="single" w:color="auto" w:sz="4" w:space="0"/>
              <w:bottom w:val="single" w:color="auto" w:sz="4" w:space="0"/>
              <w:right w:val="single" w:color="auto" w:sz="4" w:space="0"/>
            </w:tcBorders>
            <w:noWrap w:val="0"/>
            <w:vAlign w:val="center"/>
          </w:tcPr>
          <w:p w14:paraId="023010A4">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w:t>
            </w:r>
          </w:p>
        </w:tc>
        <w:tc>
          <w:tcPr>
            <w:tcW w:w="1146" w:type="dxa"/>
            <w:vMerge w:val="continue"/>
            <w:tcBorders>
              <w:left w:val="nil"/>
              <w:right w:val="single" w:color="auto" w:sz="4" w:space="0"/>
            </w:tcBorders>
            <w:noWrap w:val="0"/>
            <w:vAlign w:val="center"/>
          </w:tcPr>
          <w:p w14:paraId="10B138EF">
            <w:pPr>
              <w:widowControl/>
              <w:jc w:val="center"/>
              <w:rPr>
                <w:rFonts w:hint="eastAsia" w:ascii="仿宋_GB2312" w:hAnsi="仿宋_GB2312" w:eastAsia="仿宋_GB2312" w:cs="仿宋_GB2312"/>
                <w:color w:val="000000"/>
                <w:kern w:val="0"/>
                <w:sz w:val="32"/>
                <w:szCs w:val="32"/>
              </w:rPr>
            </w:pPr>
          </w:p>
        </w:tc>
        <w:tc>
          <w:tcPr>
            <w:tcW w:w="2254" w:type="dxa"/>
            <w:tcBorders>
              <w:top w:val="nil"/>
              <w:left w:val="nil"/>
              <w:bottom w:val="single" w:color="auto" w:sz="4" w:space="0"/>
              <w:right w:val="single" w:color="auto" w:sz="4" w:space="0"/>
            </w:tcBorders>
            <w:noWrap w:val="0"/>
            <w:vAlign w:val="center"/>
          </w:tcPr>
          <w:p w14:paraId="0152CCB4">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50km～100km</w:t>
            </w:r>
          </w:p>
        </w:tc>
        <w:tc>
          <w:tcPr>
            <w:tcW w:w="1579" w:type="dxa"/>
            <w:tcBorders>
              <w:top w:val="nil"/>
              <w:left w:val="nil"/>
              <w:bottom w:val="single" w:color="auto" w:sz="4" w:space="0"/>
              <w:right w:val="single" w:color="auto" w:sz="4" w:space="0"/>
            </w:tcBorders>
            <w:noWrap w:val="0"/>
            <w:vAlign w:val="center"/>
          </w:tcPr>
          <w:p w14:paraId="0F8D06DF">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45</w:t>
            </w:r>
          </w:p>
        </w:tc>
        <w:tc>
          <w:tcPr>
            <w:tcW w:w="1579" w:type="dxa"/>
            <w:tcBorders>
              <w:top w:val="nil"/>
              <w:left w:val="nil"/>
              <w:bottom w:val="single" w:color="auto" w:sz="4" w:space="0"/>
              <w:right w:val="single" w:color="auto" w:sz="4" w:space="0"/>
            </w:tcBorders>
            <w:noWrap w:val="0"/>
            <w:vAlign w:val="center"/>
          </w:tcPr>
          <w:p w14:paraId="7CB00E0B">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1000</w:t>
            </w:r>
          </w:p>
        </w:tc>
        <w:tc>
          <w:tcPr>
            <w:tcW w:w="1579" w:type="dxa"/>
            <w:tcBorders>
              <w:top w:val="nil"/>
              <w:left w:val="nil"/>
              <w:bottom w:val="single" w:color="auto" w:sz="4" w:space="0"/>
              <w:right w:val="single" w:color="auto" w:sz="4" w:space="0"/>
            </w:tcBorders>
            <w:noWrap w:val="0"/>
            <w:vAlign w:val="center"/>
          </w:tcPr>
          <w:p w14:paraId="5F1FC584">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45000</w:t>
            </w:r>
          </w:p>
        </w:tc>
      </w:tr>
      <w:tr w14:paraId="36470A24">
        <w:tblPrEx>
          <w:tblCellMar>
            <w:top w:w="0" w:type="dxa"/>
            <w:left w:w="108" w:type="dxa"/>
            <w:bottom w:w="0" w:type="dxa"/>
            <w:right w:w="108" w:type="dxa"/>
          </w:tblCellMar>
        </w:tblPrEx>
        <w:trPr>
          <w:trHeight w:val="283" w:hRule="atLeast"/>
          <w:jc w:val="center"/>
        </w:trPr>
        <w:tc>
          <w:tcPr>
            <w:tcW w:w="934" w:type="dxa"/>
            <w:tcBorders>
              <w:top w:val="nil"/>
              <w:left w:val="single" w:color="auto" w:sz="4" w:space="0"/>
              <w:bottom w:val="single" w:color="auto" w:sz="4" w:space="0"/>
              <w:right w:val="single" w:color="auto" w:sz="4" w:space="0"/>
            </w:tcBorders>
            <w:noWrap w:val="0"/>
            <w:vAlign w:val="center"/>
          </w:tcPr>
          <w:p w14:paraId="7F45E701">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p>
        </w:tc>
        <w:tc>
          <w:tcPr>
            <w:tcW w:w="1146" w:type="dxa"/>
            <w:vMerge w:val="continue"/>
            <w:tcBorders>
              <w:left w:val="nil"/>
              <w:right w:val="single" w:color="auto" w:sz="4" w:space="0"/>
            </w:tcBorders>
            <w:noWrap w:val="0"/>
            <w:vAlign w:val="center"/>
          </w:tcPr>
          <w:p w14:paraId="64BB4A0B">
            <w:pPr>
              <w:widowControl/>
              <w:jc w:val="center"/>
              <w:rPr>
                <w:rFonts w:hint="eastAsia" w:ascii="仿宋_GB2312" w:hAnsi="仿宋_GB2312" w:eastAsia="仿宋_GB2312" w:cs="仿宋_GB2312"/>
                <w:kern w:val="0"/>
                <w:sz w:val="32"/>
                <w:szCs w:val="32"/>
              </w:rPr>
            </w:pPr>
          </w:p>
        </w:tc>
        <w:tc>
          <w:tcPr>
            <w:tcW w:w="2254" w:type="dxa"/>
            <w:tcBorders>
              <w:top w:val="nil"/>
              <w:left w:val="nil"/>
              <w:bottom w:val="single" w:color="auto" w:sz="4" w:space="0"/>
              <w:right w:val="single" w:color="auto" w:sz="4" w:space="0"/>
            </w:tcBorders>
            <w:noWrap w:val="0"/>
            <w:vAlign w:val="center"/>
          </w:tcPr>
          <w:p w14:paraId="782A5E8F">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100km～200km</w:t>
            </w:r>
          </w:p>
        </w:tc>
        <w:tc>
          <w:tcPr>
            <w:tcW w:w="1579" w:type="dxa"/>
            <w:tcBorders>
              <w:top w:val="nil"/>
              <w:left w:val="nil"/>
              <w:bottom w:val="single" w:color="auto" w:sz="4" w:space="0"/>
              <w:right w:val="single" w:color="auto" w:sz="4" w:space="0"/>
            </w:tcBorders>
            <w:noWrap w:val="0"/>
            <w:vAlign w:val="center"/>
          </w:tcPr>
          <w:p w14:paraId="44F39E17">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70</w:t>
            </w:r>
          </w:p>
        </w:tc>
        <w:tc>
          <w:tcPr>
            <w:tcW w:w="1579" w:type="dxa"/>
            <w:tcBorders>
              <w:top w:val="nil"/>
              <w:left w:val="nil"/>
              <w:bottom w:val="single" w:color="auto" w:sz="4" w:space="0"/>
              <w:right w:val="single" w:color="auto" w:sz="4" w:space="0"/>
            </w:tcBorders>
            <w:noWrap w:val="0"/>
            <w:vAlign w:val="center"/>
          </w:tcPr>
          <w:p w14:paraId="53235F99">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1000</w:t>
            </w:r>
          </w:p>
        </w:tc>
        <w:tc>
          <w:tcPr>
            <w:tcW w:w="1579" w:type="dxa"/>
            <w:tcBorders>
              <w:top w:val="nil"/>
              <w:left w:val="nil"/>
              <w:bottom w:val="single" w:color="auto" w:sz="4" w:space="0"/>
              <w:right w:val="single" w:color="auto" w:sz="4" w:space="0"/>
            </w:tcBorders>
            <w:noWrap w:val="0"/>
            <w:vAlign w:val="center"/>
          </w:tcPr>
          <w:p w14:paraId="4FB10634">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70000</w:t>
            </w:r>
          </w:p>
        </w:tc>
      </w:tr>
      <w:tr w14:paraId="5FECA85D">
        <w:tblPrEx>
          <w:tblCellMar>
            <w:top w:w="0" w:type="dxa"/>
            <w:left w:w="108" w:type="dxa"/>
            <w:bottom w:w="0" w:type="dxa"/>
            <w:right w:w="108" w:type="dxa"/>
          </w:tblCellMar>
        </w:tblPrEx>
        <w:trPr>
          <w:trHeight w:val="283" w:hRule="atLeast"/>
          <w:jc w:val="center"/>
        </w:trPr>
        <w:tc>
          <w:tcPr>
            <w:tcW w:w="934" w:type="dxa"/>
            <w:tcBorders>
              <w:top w:val="nil"/>
              <w:left w:val="single" w:color="auto" w:sz="4" w:space="0"/>
              <w:bottom w:val="single" w:color="auto" w:sz="4" w:space="0"/>
              <w:right w:val="single" w:color="auto" w:sz="4" w:space="0"/>
            </w:tcBorders>
            <w:noWrap w:val="0"/>
            <w:vAlign w:val="center"/>
          </w:tcPr>
          <w:p w14:paraId="4FD81269">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p>
        </w:tc>
        <w:tc>
          <w:tcPr>
            <w:tcW w:w="1146" w:type="dxa"/>
            <w:vMerge w:val="continue"/>
            <w:tcBorders>
              <w:left w:val="nil"/>
              <w:right w:val="single" w:color="auto" w:sz="4" w:space="0"/>
            </w:tcBorders>
            <w:noWrap w:val="0"/>
            <w:vAlign w:val="center"/>
          </w:tcPr>
          <w:p w14:paraId="368225EB">
            <w:pPr>
              <w:widowControl/>
              <w:jc w:val="center"/>
              <w:rPr>
                <w:rFonts w:hint="eastAsia" w:ascii="仿宋_GB2312" w:hAnsi="仿宋_GB2312" w:eastAsia="仿宋_GB2312" w:cs="仿宋_GB2312"/>
                <w:kern w:val="0"/>
                <w:sz w:val="32"/>
                <w:szCs w:val="32"/>
              </w:rPr>
            </w:pPr>
          </w:p>
        </w:tc>
        <w:tc>
          <w:tcPr>
            <w:tcW w:w="2254" w:type="dxa"/>
            <w:tcBorders>
              <w:top w:val="nil"/>
              <w:left w:val="nil"/>
              <w:bottom w:val="single" w:color="auto" w:sz="4" w:space="0"/>
              <w:right w:val="single" w:color="auto" w:sz="4" w:space="0"/>
            </w:tcBorders>
            <w:noWrap w:val="0"/>
            <w:vAlign w:val="center"/>
          </w:tcPr>
          <w:p w14:paraId="3E9AC9E1">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200km～300km</w:t>
            </w:r>
          </w:p>
        </w:tc>
        <w:tc>
          <w:tcPr>
            <w:tcW w:w="1579" w:type="dxa"/>
            <w:tcBorders>
              <w:top w:val="nil"/>
              <w:left w:val="nil"/>
              <w:bottom w:val="single" w:color="auto" w:sz="4" w:space="0"/>
              <w:right w:val="single" w:color="auto" w:sz="4" w:space="0"/>
            </w:tcBorders>
            <w:noWrap w:val="0"/>
            <w:vAlign w:val="center"/>
          </w:tcPr>
          <w:p w14:paraId="0E8EC2D0">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90</w:t>
            </w:r>
          </w:p>
        </w:tc>
        <w:tc>
          <w:tcPr>
            <w:tcW w:w="1579" w:type="dxa"/>
            <w:tcBorders>
              <w:top w:val="nil"/>
              <w:left w:val="nil"/>
              <w:bottom w:val="single" w:color="auto" w:sz="4" w:space="0"/>
              <w:right w:val="single" w:color="auto" w:sz="4" w:space="0"/>
            </w:tcBorders>
            <w:noWrap w:val="0"/>
            <w:vAlign w:val="center"/>
          </w:tcPr>
          <w:p w14:paraId="5FD49E6D">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500</w:t>
            </w:r>
          </w:p>
        </w:tc>
        <w:tc>
          <w:tcPr>
            <w:tcW w:w="1579" w:type="dxa"/>
            <w:tcBorders>
              <w:top w:val="nil"/>
              <w:left w:val="nil"/>
              <w:bottom w:val="single" w:color="auto" w:sz="4" w:space="0"/>
              <w:right w:val="single" w:color="auto" w:sz="4" w:space="0"/>
            </w:tcBorders>
            <w:noWrap w:val="0"/>
            <w:vAlign w:val="center"/>
          </w:tcPr>
          <w:p w14:paraId="2DC78B86">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45000</w:t>
            </w:r>
          </w:p>
        </w:tc>
      </w:tr>
      <w:tr w14:paraId="01109F1A">
        <w:tblPrEx>
          <w:tblCellMar>
            <w:top w:w="0" w:type="dxa"/>
            <w:left w:w="108" w:type="dxa"/>
            <w:bottom w:w="0" w:type="dxa"/>
            <w:right w:w="108" w:type="dxa"/>
          </w:tblCellMar>
        </w:tblPrEx>
        <w:trPr>
          <w:trHeight w:val="283" w:hRule="atLeast"/>
          <w:jc w:val="center"/>
        </w:trPr>
        <w:tc>
          <w:tcPr>
            <w:tcW w:w="934" w:type="dxa"/>
            <w:tcBorders>
              <w:top w:val="nil"/>
              <w:left w:val="single" w:color="auto" w:sz="4" w:space="0"/>
              <w:bottom w:val="single" w:color="auto" w:sz="4" w:space="0"/>
              <w:right w:val="single" w:color="auto" w:sz="4" w:space="0"/>
            </w:tcBorders>
            <w:noWrap w:val="0"/>
            <w:vAlign w:val="center"/>
          </w:tcPr>
          <w:p w14:paraId="3E1663E1">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p>
        </w:tc>
        <w:tc>
          <w:tcPr>
            <w:tcW w:w="1146" w:type="dxa"/>
            <w:vMerge w:val="continue"/>
            <w:tcBorders>
              <w:left w:val="nil"/>
              <w:bottom w:val="single" w:color="auto" w:sz="4" w:space="0"/>
              <w:right w:val="single" w:color="auto" w:sz="4" w:space="0"/>
            </w:tcBorders>
            <w:noWrap w:val="0"/>
            <w:vAlign w:val="center"/>
          </w:tcPr>
          <w:p w14:paraId="673FF96E">
            <w:pPr>
              <w:widowControl/>
              <w:jc w:val="center"/>
              <w:rPr>
                <w:rFonts w:hint="eastAsia" w:ascii="仿宋_GB2312" w:hAnsi="仿宋_GB2312" w:eastAsia="仿宋_GB2312" w:cs="仿宋_GB2312"/>
                <w:kern w:val="0"/>
                <w:sz w:val="32"/>
                <w:szCs w:val="32"/>
              </w:rPr>
            </w:pPr>
          </w:p>
        </w:tc>
        <w:tc>
          <w:tcPr>
            <w:tcW w:w="2254" w:type="dxa"/>
            <w:tcBorders>
              <w:top w:val="nil"/>
              <w:left w:val="nil"/>
              <w:bottom w:val="single" w:color="auto" w:sz="4" w:space="0"/>
              <w:right w:val="single" w:color="auto" w:sz="4" w:space="0"/>
            </w:tcBorders>
            <w:noWrap w:val="0"/>
            <w:vAlign w:val="center"/>
          </w:tcPr>
          <w:p w14:paraId="5109094E">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300km～400km</w:t>
            </w:r>
          </w:p>
        </w:tc>
        <w:tc>
          <w:tcPr>
            <w:tcW w:w="1579" w:type="dxa"/>
            <w:tcBorders>
              <w:top w:val="nil"/>
              <w:left w:val="nil"/>
              <w:bottom w:val="single" w:color="auto" w:sz="4" w:space="0"/>
              <w:right w:val="single" w:color="auto" w:sz="4" w:space="0"/>
            </w:tcBorders>
            <w:noWrap w:val="0"/>
            <w:vAlign w:val="center"/>
          </w:tcPr>
          <w:p w14:paraId="6BE2A3BA">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110</w:t>
            </w:r>
          </w:p>
        </w:tc>
        <w:tc>
          <w:tcPr>
            <w:tcW w:w="1579" w:type="dxa"/>
            <w:tcBorders>
              <w:top w:val="nil"/>
              <w:left w:val="nil"/>
              <w:bottom w:val="single" w:color="auto" w:sz="4" w:space="0"/>
              <w:right w:val="single" w:color="auto" w:sz="4" w:space="0"/>
            </w:tcBorders>
            <w:noWrap w:val="0"/>
            <w:vAlign w:val="center"/>
          </w:tcPr>
          <w:p w14:paraId="260CF3ED">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500</w:t>
            </w:r>
          </w:p>
        </w:tc>
        <w:tc>
          <w:tcPr>
            <w:tcW w:w="1579" w:type="dxa"/>
            <w:tcBorders>
              <w:top w:val="nil"/>
              <w:left w:val="nil"/>
              <w:bottom w:val="single" w:color="auto" w:sz="4" w:space="0"/>
              <w:right w:val="single" w:color="auto" w:sz="4" w:space="0"/>
            </w:tcBorders>
            <w:noWrap w:val="0"/>
            <w:vAlign w:val="center"/>
          </w:tcPr>
          <w:p w14:paraId="6F539D19">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55000</w:t>
            </w:r>
          </w:p>
        </w:tc>
      </w:tr>
      <w:tr w14:paraId="7789B7D7">
        <w:tblPrEx>
          <w:tblCellMar>
            <w:top w:w="0" w:type="dxa"/>
            <w:left w:w="108" w:type="dxa"/>
            <w:bottom w:w="0" w:type="dxa"/>
            <w:right w:w="108" w:type="dxa"/>
          </w:tblCellMar>
        </w:tblPrEx>
        <w:trPr>
          <w:trHeight w:val="359" w:hRule="atLeast"/>
          <w:jc w:val="center"/>
        </w:trPr>
        <w:tc>
          <w:tcPr>
            <w:tcW w:w="2080" w:type="dxa"/>
            <w:gridSpan w:val="2"/>
            <w:tcBorders>
              <w:top w:val="nil"/>
              <w:left w:val="single" w:color="auto" w:sz="4" w:space="0"/>
              <w:bottom w:val="single" w:color="auto" w:sz="4" w:space="0"/>
              <w:right w:val="single" w:color="auto" w:sz="4" w:space="0"/>
            </w:tcBorders>
            <w:noWrap w:val="0"/>
            <w:vAlign w:val="center"/>
          </w:tcPr>
          <w:p w14:paraId="0FAE4641">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总计</w:t>
            </w:r>
          </w:p>
        </w:tc>
        <w:tc>
          <w:tcPr>
            <w:tcW w:w="5412" w:type="dxa"/>
            <w:gridSpan w:val="3"/>
            <w:tcBorders>
              <w:top w:val="nil"/>
              <w:left w:val="nil"/>
              <w:bottom w:val="single" w:color="auto" w:sz="4" w:space="0"/>
              <w:right w:val="single" w:color="auto" w:sz="4" w:space="0"/>
            </w:tcBorders>
            <w:noWrap w:val="0"/>
            <w:vAlign w:val="center"/>
          </w:tcPr>
          <w:p w14:paraId="546E0ADC">
            <w:pPr>
              <w:widowControl/>
              <w:jc w:val="center"/>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b w:val="0"/>
                <w:bCs w:val="0"/>
                <w:color w:val="000000"/>
                <w:sz w:val="32"/>
                <w:szCs w:val="32"/>
                <w:highlight w:val="none"/>
                <w:lang w:val="en-US"/>
              </w:rPr>
              <w:t>含税总额（元）（增值税率：</w:t>
            </w:r>
            <w:r>
              <w:rPr>
                <w:rFonts w:hint="eastAsia" w:ascii="仿宋_GB2312" w:hAnsi="仿宋_GB2312" w:eastAsia="仿宋_GB2312" w:cs="仿宋_GB2312"/>
                <w:b w:val="0"/>
                <w:bCs w:val="0"/>
                <w:color w:val="000000"/>
                <w:sz w:val="32"/>
                <w:szCs w:val="32"/>
                <w:highlight w:val="none"/>
                <w:lang w:val="en-US" w:eastAsia="zh-CN"/>
              </w:rPr>
              <w:t>9</w:t>
            </w:r>
            <w:r>
              <w:rPr>
                <w:rFonts w:hint="default" w:ascii="仿宋_GB2312" w:hAnsi="仿宋_GB2312" w:eastAsia="仿宋_GB2312" w:cs="仿宋_GB2312"/>
                <w:b w:val="0"/>
                <w:bCs w:val="0"/>
                <w:color w:val="000000"/>
                <w:sz w:val="32"/>
                <w:szCs w:val="32"/>
                <w:highlight w:val="none"/>
                <w:lang w:val="en-US"/>
              </w:rPr>
              <w:t>%）</w:t>
            </w:r>
          </w:p>
        </w:tc>
        <w:tc>
          <w:tcPr>
            <w:tcW w:w="1579" w:type="dxa"/>
            <w:tcBorders>
              <w:top w:val="nil"/>
              <w:left w:val="nil"/>
              <w:bottom w:val="single" w:color="auto" w:sz="4" w:space="0"/>
              <w:right w:val="single" w:color="auto" w:sz="4" w:space="0"/>
            </w:tcBorders>
            <w:noWrap w:val="0"/>
            <w:vAlign w:val="center"/>
          </w:tcPr>
          <w:p w14:paraId="7E52A009">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233500</w:t>
            </w:r>
          </w:p>
        </w:tc>
      </w:tr>
    </w:tbl>
    <w:p w14:paraId="0561AAB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注：总费用包含运输费、保险费、管理费、售后服务、高速过路费、税费(9%)以及其他所有相关费用。</w:t>
      </w:r>
    </w:p>
    <w:p w14:paraId="7383BD3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6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运输项目明细：福路通资源循环公司承接全省废旧物资回收业务，同时部分循环场站生产自有产品，运输物品包含废旧物资护栏立柱、废旧家具家电、旧机电、路面沥青铣刨料等，自有产品包括路锥、防撞桶、防眩板、活动护栏、TS级防撞垫等。</w:t>
      </w:r>
    </w:p>
    <w:p w14:paraId="09DD72C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6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运输服务范围：全省各地。</w:t>
      </w:r>
    </w:p>
    <w:p w14:paraId="56F3A70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kern w:val="2"/>
          <w:sz w:val="32"/>
          <w:szCs w:val="32"/>
          <w:highlight w:val="none"/>
          <w:lang w:val="en-US" w:eastAsia="zh-CN" w:bidi="ar-SA"/>
        </w:rPr>
      </w:pPr>
    </w:p>
    <w:p w14:paraId="611F65E5">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4"/>
          <w:szCs w:val="44"/>
          <w:highlight w:val="none"/>
        </w:rPr>
      </w:pPr>
      <w:bookmarkStart w:id="73" w:name="_Toc24722"/>
      <w:bookmarkStart w:id="74" w:name="_Toc31783"/>
      <w:bookmarkStart w:id="75" w:name="_Toc296"/>
      <w:bookmarkStart w:id="76" w:name="_Toc21277"/>
      <w:bookmarkStart w:id="77" w:name="_Toc25750"/>
      <w:bookmarkStart w:id="78" w:name="_Toc12890"/>
      <w:bookmarkStart w:id="79" w:name="_Toc14893"/>
      <w:bookmarkStart w:id="80" w:name="_Toc19180"/>
      <w:bookmarkStart w:id="81" w:name="_Toc24713"/>
      <w:bookmarkStart w:id="82" w:name="_Toc32538"/>
      <w:bookmarkStart w:id="83" w:name="_Toc18504"/>
      <w:bookmarkStart w:id="84" w:name="_Toc7355"/>
      <w:bookmarkStart w:id="85" w:name="_Toc14725"/>
      <w:bookmarkStart w:id="86" w:name="_Toc29443"/>
      <w:r>
        <w:rPr>
          <w:rFonts w:hint="eastAsia" w:ascii="黑体" w:hAnsi="黑体" w:eastAsia="黑体" w:cs="黑体"/>
          <w:sz w:val="44"/>
          <w:szCs w:val="44"/>
          <w:highlight w:val="none"/>
        </w:rPr>
        <w:t>第三篇  供应商须知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C94DD4F">
      <w:pPr>
        <w:spacing w:line="560" w:lineRule="exact"/>
        <w:ind w:firstLine="643" w:firstLineChars="200"/>
        <w:rPr>
          <w:rFonts w:ascii="仿宋_GB2312" w:eastAsia="仿宋_GB2312"/>
          <w:b/>
          <w:sz w:val="32"/>
          <w:szCs w:val="32"/>
          <w:highlight w:val="none"/>
        </w:rPr>
      </w:pPr>
    </w:p>
    <w:p w14:paraId="45FACE61">
      <w:pPr>
        <w:spacing w:line="560" w:lineRule="exact"/>
        <w:ind w:firstLine="643" w:firstLineChars="200"/>
        <w:outlineLvl w:val="0"/>
        <w:rPr>
          <w:rFonts w:ascii="仿宋_GB2312" w:hAnsi="仿宋_GB2312" w:eastAsia="仿宋_GB2312" w:cs="仿宋_GB2312"/>
          <w:b/>
          <w:sz w:val="32"/>
          <w:szCs w:val="32"/>
          <w:highlight w:val="none"/>
        </w:rPr>
      </w:pPr>
      <w:bookmarkStart w:id="87" w:name="_Toc8816"/>
      <w:bookmarkStart w:id="88" w:name="_Toc8943"/>
      <w:bookmarkStart w:id="89" w:name="_Toc6819"/>
      <w:bookmarkStart w:id="90" w:name="_Toc6770"/>
      <w:bookmarkStart w:id="91" w:name="_Toc26561"/>
      <w:bookmarkStart w:id="92" w:name="_Toc3437"/>
      <w:bookmarkStart w:id="93" w:name="_Toc23396"/>
      <w:r>
        <w:rPr>
          <w:rFonts w:hint="eastAsia" w:ascii="仿宋_GB2312" w:hAnsi="仿宋_GB2312" w:eastAsia="仿宋_GB2312" w:cs="仿宋_GB2312"/>
          <w:b/>
          <w:sz w:val="32"/>
          <w:szCs w:val="32"/>
          <w:highlight w:val="none"/>
        </w:rPr>
        <w:t>一、资金来源</w:t>
      </w:r>
      <w:bookmarkEnd w:id="87"/>
      <w:bookmarkEnd w:id="88"/>
      <w:bookmarkEnd w:id="89"/>
      <w:bookmarkEnd w:id="90"/>
      <w:bookmarkEnd w:id="91"/>
      <w:bookmarkEnd w:id="92"/>
      <w:bookmarkEnd w:id="93"/>
    </w:p>
    <w:p w14:paraId="41CC3F4C">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资金来源：</w:t>
      </w:r>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企业自筹资金。</w:t>
      </w:r>
    </w:p>
    <w:p w14:paraId="53A51B34">
      <w:pPr>
        <w:spacing w:line="560" w:lineRule="exact"/>
        <w:ind w:firstLine="643" w:firstLineChars="200"/>
        <w:outlineLvl w:val="0"/>
        <w:rPr>
          <w:rFonts w:ascii="仿宋_GB2312" w:hAnsi="仿宋_GB2312" w:eastAsia="仿宋_GB2312" w:cs="仿宋_GB2312"/>
          <w:b/>
          <w:sz w:val="32"/>
          <w:szCs w:val="32"/>
          <w:highlight w:val="none"/>
        </w:rPr>
      </w:pPr>
      <w:bookmarkStart w:id="94" w:name="_Toc26034"/>
      <w:bookmarkStart w:id="95" w:name="_Toc14753"/>
      <w:bookmarkStart w:id="96" w:name="_Toc13171"/>
      <w:bookmarkStart w:id="97" w:name="_Toc31811"/>
      <w:bookmarkStart w:id="98" w:name="_Toc3369"/>
      <w:bookmarkStart w:id="99" w:name="_Toc32750"/>
      <w:bookmarkStart w:id="100" w:name="_Toc18846"/>
      <w:r>
        <w:rPr>
          <w:rFonts w:hint="eastAsia" w:ascii="仿宋_GB2312" w:hAnsi="仿宋_GB2312" w:eastAsia="仿宋_GB2312" w:cs="仿宋_GB2312"/>
          <w:b/>
          <w:sz w:val="32"/>
          <w:szCs w:val="32"/>
          <w:highlight w:val="none"/>
        </w:rPr>
        <w:t>二、供应商的合格条件</w:t>
      </w:r>
      <w:bookmarkEnd w:id="94"/>
      <w:bookmarkEnd w:id="95"/>
      <w:bookmarkEnd w:id="96"/>
      <w:bookmarkEnd w:id="97"/>
      <w:bookmarkEnd w:id="98"/>
      <w:bookmarkEnd w:id="99"/>
      <w:bookmarkEnd w:id="100"/>
    </w:p>
    <w:p w14:paraId="00117682">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（一）本项目采用资格后审方式</w:t>
      </w:r>
    </w:p>
    <w:p w14:paraId="38FBF9D2">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（二）资格条件要求</w:t>
      </w:r>
    </w:p>
    <w:tbl>
      <w:tblPr>
        <w:tblStyle w:val="32"/>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gridCol w:w="6606"/>
      </w:tblGrid>
      <w:tr w14:paraId="084E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5" w:type="dxa"/>
            <w:vAlign w:val="center"/>
          </w:tcPr>
          <w:p w14:paraId="35ABC7A8">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营业执照</w:t>
            </w:r>
          </w:p>
        </w:tc>
        <w:tc>
          <w:tcPr>
            <w:tcW w:w="6606" w:type="dxa"/>
            <w:vAlign w:val="center"/>
          </w:tcPr>
          <w:p w14:paraId="1A173B65">
            <w:pPr>
              <w:keepNext/>
              <w:keepLines/>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供应商应提供有效的依法合法设立的独立法人企业的营业执照复印件并加盖供应商公章，未提供或提供不全的响应文件将被否决。</w:t>
            </w:r>
          </w:p>
        </w:tc>
      </w:tr>
      <w:tr w14:paraId="11CE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5" w:type="dxa"/>
            <w:vAlign w:val="center"/>
          </w:tcPr>
          <w:p w14:paraId="3F7260C4">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法定代表人授权书或法定代表人身份证明</w:t>
            </w:r>
          </w:p>
        </w:tc>
        <w:tc>
          <w:tcPr>
            <w:tcW w:w="6606" w:type="dxa"/>
            <w:vAlign w:val="center"/>
          </w:tcPr>
          <w:p w14:paraId="21F71021">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供应商应提供法定代表人授权书或法定代表人身份证明，未提供或提供不全的响应文件将被否决。</w:t>
            </w:r>
          </w:p>
          <w:p w14:paraId="1E327C0F">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注：供应商应按照采购文件格式规定提供。</w:t>
            </w:r>
          </w:p>
        </w:tc>
      </w:tr>
    </w:tbl>
    <w:p w14:paraId="2B2908B0">
      <w:pPr>
        <w:spacing w:line="560" w:lineRule="exact"/>
        <w:ind w:firstLine="643" w:firstLineChars="200"/>
        <w:outlineLvl w:val="0"/>
        <w:rPr>
          <w:rFonts w:ascii="仿宋_GB2312" w:hAnsi="仿宋_GB2312" w:eastAsia="仿宋_GB2312" w:cs="仿宋_GB2312"/>
          <w:bCs/>
          <w:sz w:val="32"/>
          <w:szCs w:val="32"/>
          <w:highlight w:val="none"/>
        </w:rPr>
      </w:pPr>
      <w:bookmarkStart w:id="101" w:name="_Toc30593"/>
      <w:bookmarkStart w:id="102" w:name="_Toc7335"/>
      <w:bookmarkStart w:id="103" w:name="_Toc4294"/>
      <w:bookmarkStart w:id="104" w:name="_Toc13808"/>
      <w:bookmarkStart w:id="105" w:name="_Toc5610"/>
      <w:bookmarkStart w:id="106" w:name="_Toc8181"/>
      <w:bookmarkStart w:id="107" w:name="_Toc9403"/>
      <w:r>
        <w:rPr>
          <w:rFonts w:hint="eastAsia" w:ascii="仿宋_GB2312" w:hAnsi="仿宋_GB2312" w:eastAsia="仿宋_GB2312" w:cs="仿宋_GB2312"/>
          <w:b/>
          <w:sz w:val="32"/>
          <w:szCs w:val="32"/>
          <w:highlight w:val="none"/>
        </w:rPr>
        <w:t>三、询价采购日程安排</w:t>
      </w:r>
      <w:bookmarkEnd w:id="101"/>
      <w:bookmarkEnd w:id="102"/>
      <w:bookmarkEnd w:id="103"/>
      <w:bookmarkEnd w:id="104"/>
      <w:bookmarkEnd w:id="105"/>
      <w:bookmarkEnd w:id="106"/>
      <w:bookmarkEnd w:id="107"/>
    </w:p>
    <w:tbl>
      <w:tblPr>
        <w:tblStyle w:val="3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032"/>
        <w:gridCol w:w="5684"/>
      </w:tblGrid>
      <w:tr w14:paraId="4826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603F10C4">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序号</w:t>
            </w:r>
          </w:p>
        </w:tc>
        <w:tc>
          <w:tcPr>
            <w:tcW w:w="2860" w:type="dxa"/>
            <w:vAlign w:val="center"/>
          </w:tcPr>
          <w:p w14:paraId="6E731E52">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w:t>
            </w:r>
          </w:p>
        </w:tc>
        <w:tc>
          <w:tcPr>
            <w:tcW w:w="5361" w:type="dxa"/>
            <w:vAlign w:val="center"/>
          </w:tcPr>
          <w:p w14:paraId="515F17F0">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内容</w:t>
            </w:r>
          </w:p>
        </w:tc>
      </w:tr>
      <w:tr w14:paraId="7B68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7E3CBA23">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p>
        </w:tc>
        <w:tc>
          <w:tcPr>
            <w:tcW w:w="2860" w:type="dxa"/>
            <w:vAlign w:val="center"/>
          </w:tcPr>
          <w:p w14:paraId="7ABDDE40">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询价采购人</w:t>
            </w:r>
          </w:p>
        </w:tc>
        <w:tc>
          <w:tcPr>
            <w:tcW w:w="5361" w:type="dxa"/>
            <w:vAlign w:val="center"/>
          </w:tcPr>
          <w:p w14:paraId="61044219">
            <w:pPr>
              <w:spacing w:line="56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福路通资源循环（福建）有限公司</w:t>
            </w:r>
          </w:p>
        </w:tc>
      </w:tr>
      <w:tr w14:paraId="13A9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7623F60A">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p>
        </w:tc>
        <w:tc>
          <w:tcPr>
            <w:tcW w:w="2860" w:type="dxa"/>
            <w:vAlign w:val="center"/>
          </w:tcPr>
          <w:p w14:paraId="5CA2E554">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项目名称</w:t>
            </w:r>
          </w:p>
        </w:tc>
        <w:tc>
          <w:tcPr>
            <w:tcW w:w="5361" w:type="dxa"/>
            <w:vAlign w:val="center"/>
          </w:tcPr>
          <w:p w14:paraId="70449F8E">
            <w:pPr>
              <w:spacing w:line="560" w:lineRule="exact"/>
              <w:jc w:val="center"/>
              <w:rPr>
                <w:rFonts w:hint="eastAsia" w:ascii="仿宋_GB2312" w:hAnsi="仿宋_GB2312" w:eastAsia="微软雅黑" w:cs="仿宋_GB2312"/>
                <w:sz w:val="32"/>
                <w:szCs w:val="32"/>
                <w:highlight w:val="none"/>
                <w:lang w:eastAsia="zh-CN"/>
              </w:rPr>
            </w:pPr>
            <w:r>
              <w:rPr>
                <w:rFonts w:hint="eastAsia" w:ascii="仿宋_GB2312" w:hAnsi="仿宋_GB2312" w:eastAsia="仿宋_GB2312" w:cs="仿宋_GB2312"/>
                <w:sz w:val="32"/>
                <w:szCs w:val="32"/>
                <w:highlight w:val="none"/>
                <w:lang w:eastAsia="zh-CN"/>
              </w:rPr>
              <w:t>2025-2026年度物流运输服务</w:t>
            </w:r>
          </w:p>
        </w:tc>
      </w:tr>
      <w:tr w14:paraId="3746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7A227F18">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3</w:t>
            </w:r>
          </w:p>
        </w:tc>
        <w:tc>
          <w:tcPr>
            <w:tcW w:w="2860" w:type="dxa"/>
            <w:vAlign w:val="center"/>
          </w:tcPr>
          <w:p w14:paraId="1872B541">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询价采购方式</w:t>
            </w:r>
          </w:p>
        </w:tc>
        <w:tc>
          <w:tcPr>
            <w:tcW w:w="5361" w:type="dxa"/>
            <w:vAlign w:val="center"/>
          </w:tcPr>
          <w:p w14:paraId="03A04A12">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询价采购</w:t>
            </w:r>
          </w:p>
        </w:tc>
      </w:tr>
      <w:tr w14:paraId="3FE8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1DC438F2">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w:t>
            </w:r>
          </w:p>
        </w:tc>
        <w:tc>
          <w:tcPr>
            <w:tcW w:w="2860" w:type="dxa"/>
            <w:vAlign w:val="center"/>
          </w:tcPr>
          <w:p w14:paraId="0BC96EF0">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询价采购文件领取</w:t>
            </w:r>
          </w:p>
        </w:tc>
        <w:tc>
          <w:tcPr>
            <w:tcW w:w="5361" w:type="dxa"/>
            <w:vAlign w:val="center"/>
          </w:tcPr>
          <w:p w14:paraId="49B1AA8E">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详见询价采购公告</w:t>
            </w:r>
          </w:p>
        </w:tc>
      </w:tr>
      <w:tr w14:paraId="3B11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630DCDEB">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w:t>
            </w:r>
          </w:p>
        </w:tc>
        <w:tc>
          <w:tcPr>
            <w:tcW w:w="2860" w:type="dxa"/>
            <w:vAlign w:val="center"/>
          </w:tcPr>
          <w:p w14:paraId="23A189B0">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现场查看时间</w:t>
            </w:r>
          </w:p>
        </w:tc>
        <w:tc>
          <w:tcPr>
            <w:tcW w:w="5361" w:type="dxa"/>
            <w:vAlign w:val="center"/>
          </w:tcPr>
          <w:p w14:paraId="072BEC33">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不组织现场查看</w:t>
            </w:r>
          </w:p>
        </w:tc>
      </w:tr>
      <w:tr w14:paraId="01A0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17BAED3D">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p>
        </w:tc>
        <w:tc>
          <w:tcPr>
            <w:tcW w:w="2860" w:type="dxa"/>
            <w:vAlign w:val="center"/>
          </w:tcPr>
          <w:p w14:paraId="792BFB33">
            <w:pPr>
              <w:spacing w:line="560" w:lineRule="exact"/>
              <w:jc w:val="center"/>
              <w:rPr>
                <w:rFonts w:ascii="仿宋_GB2312" w:hAnsi="仿宋_GB2312" w:eastAsia="仿宋_GB2312" w:cs="仿宋_GB2312"/>
                <w:sz w:val="32"/>
                <w:szCs w:val="32"/>
                <w:highlight w:val="none"/>
              </w:rPr>
            </w:pPr>
            <w:bookmarkStart w:id="108" w:name="OLE_LINK11"/>
            <w:r>
              <w:rPr>
                <w:rFonts w:hint="eastAsia" w:ascii="仿宋_GB2312" w:hAnsi="仿宋_GB2312" w:eastAsia="仿宋_GB2312" w:cs="仿宋_GB2312"/>
                <w:sz w:val="32"/>
                <w:szCs w:val="32"/>
                <w:highlight w:val="none"/>
              </w:rPr>
              <w:t>响应保证金</w:t>
            </w:r>
            <w:bookmarkEnd w:id="108"/>
            <w:r>
              <w:rPr>
                <w:rFonts w:hint="eastAsia" w:ascii="仿宋_GB2312" w:hAnsi="仿宋_GB2312" w:eastAsia="仿宋_GB2312" w:cs="仿宋_GB2312"/>
                <w:sz w:val="32"/>
                <w:szCs w:val="32"/>
                <w:highlight w:val="none"/>
              </w:rPr>
              <w:t>及缴纳方式</w:t>
            </w:r>
          </w:p>
        </w:tc>
        <w:tc>
          <w:tcPr>
            <w:tcW w:w="5361" w:type="dxa"/>
            <w:vAlign w:val="center"/>
          </w:tcPr>
          <w:p w14:paraId="2750BCA7">
            <w:pPr>
              <w:pStyle w:val="95"/>
              <w:spacing w:line="56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本项目响应保证金额度为</w:t>
            </w:r>
            <w:r>
              <w:rPr>
                <w:rFonts w:hint="eastAsia" w:ascii="仿宋_GB2312" w:hAnsi="仿宋_GB2312" w:eastAsia="仿宋_GB2312" w:cs="仿宋_GB2312"/>
                <w:sz w:val="32"/>
                <w:szCs w:val="32"/>
                <w:highlight w:val="none"/>
                <w:lang w:val="en-US" w:eastAsia="zh-CN"/>
              </w:rPr>
              <w:t>30000（叁万元整）</w:t>
            </w:r>
            <w:r>
              <w:rPr>
                <w:rFonts w:hint="eastAsia" w:ascii="仿宋_GB2312" w:hAnsi="仿宋_GB2312" w:eastAsia="仿宋_GB2312" w:cs="仿宋_GB2312"/>
                <w:sz w:val="32"/>
                <w:szCs w:val="32"/>
                <w:highlight w:val="none"/>
                <w:lang w:val="en-US"/>
              </w:rPr>
              <w:t>，供应商须采用转账方式汇入采购人指定账户，未按要求缴纳保证金的不得参与本项目采购活动。</w:t>
            </w:r>
          </w:p>
          <w:p w14:paraId="5F622683">
            <w:pPr>
              <w:pStyle w:val="95"/>
              <w:spacing w:line="560" w:lineRule="exact"/>
              <w:ind w:firstLine="0" w:firstLineChars="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rPr>
              <w:t>保证金缴纳账户信息如下：</w:t>
            </w:r>
          </w:p>
          <w:p w14:paraId="536C533E">
            <w:pPr>
              <w:pStyle w:val="95"/>
              <w:spacing w:line="560" w:lineRule="exact"/>
              <w:ind w:firstLine="0" w:firstLineChars="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rPr>
              <w:t>户名：</w:t>
            </w:r>
            <w:r>
              <w:rPr>
                <w:rFonts w:hint="eastAsia" w:ascii="仿宋_GB2312" w:hAnsi="仿宋_GB2312" w:eastAsia="仿宋_GB2312" w:cs="仿宋_GB2312"/>
                <w:b/>
                <w:bCs/>
                <w:sz w:val="32"/>
                <w:szCs w:val="32"/>
                <w:highlight w:val="none"/>
                <w:lang w:eastAsia="zh-CN"/>
              </w:rPr>
              <w:t>福路通资源循环（福建）有限公司</w:t>
            </w:r>
          </w:p>
          <w:p w14:paraId="7DC261B0">
            <w:pPr>
              <w:pStyle w:val="95"/>
              <w:spacing w:line="560" w:lineRule="exact"/>
              <w:ind w:firstLine="0" w:firstLineChars="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rPr>
              <w:t>开户行：兴业银行福州华林支行</w:t>
            </w:r>
          </w:p>
          <w:p w14:paraId="6E5FA54F">
            <w:pPr>
              <w:pStyle w:val="95"/>
              <w:spacing w:line="560" w:lineRule="exact"/>
              <w:ind w:firstLine="0" w:firstLine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rPr>
              <w:t>账号：117130100171111113</w:t>
            </w:r>
          </w:p>
          <w:p w14:paraId="6655B8D7">
            <w:pPr>
              <w:pStyle w:val="95"/>
              <w:spacing w:line="560" w:lineRule="exact"/>
              <w:ind w:firstLine="0" w:firstLineChars="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rPr>
              <w:t>注明用途：物流运输</w:t>
            </w:r>
            <w:r>
              <w:rPr>
                <w:rFonts w:hint="eastAsia" w:ascii="仿宋_GB2312" w:hAnsi="仿宋_GB2312" w:eastAsia="仿宋_GB2312" w:cs="仿宋_GB2312"/>
                <w:b/>
                <w:bCs/>
                <w:sz w:val="32"/>
                <w:szCs w:val="32"/>
                <w:highlight w:val="none"/>
                <w:lang w:val="en-US" w:eastAsia="zh-CN"/>
              </w:rPr>
              <w:t>响应</w:t>
            </w:r>
            <w:r>
              <w:rPr>
                <w:rFonts w:hint="eastAsia" w:ascii="仿宋_GB2312" w:hAnsi="仿宋_GB2312" w:eastAsia="仿宋_GB2312" w:cs="仿宋_GB2312"/>
                <w:b/>
                <w:bCs/>
                <w:sz w:val="32"/>
                <w:szCs w:val="32"/>
                <w:highlight w:val="none"/>
                <w:lang w:val="en-US"/>
              </w:rPr>
              <w:t>保证金</w:t>
            </w:r>
          </w:p>
        </w:tc>
      </w:tr>
      <w:tr w14:paraId="5646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16D9A7F7">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p>
        </w:tc>
        <w:tc>
          <w:tcPr>
            <w:tcW w:w="2860" w:type="dxa"/>
            <w:vAlign w:val="center"/>
          </w:tcPr>
          <w:p w14:paraId="370D7624">
            <w:pPr>
              <w:spacing w:line="560" w:lineRule="exact"/>
              <w:jc w:val="center"/>
              <w:rPr>
                <w:rFonts w:ascii="仿宋_GB2312" w:hAnsi="仿宋_GB2312" w:eastAsia="仿宋_GB2312" w:cs="仿宋_GB2312"/>
                <w:sz w:val="32"/>
                <w:szCs w:val="32"/>
                <w:highlight w:val="none"/>
              </w:rPr>
            </w:pPr>
            <w:bookmarkStart w:id="109" w:name="OLE_LINK4"/>
            <w:r>
              <w:rPr>
                <w:rFonts w:hint="eastAsia" w:ascii="仿宋_GB2312" w:hAnsi="仿宋_GB2312" w:eastAsia="仿宋_GB2312" w:cs="仿宋_GB2312"/>
                <w:sz w:val="32"/>
                <w:szCs w:val="32"/>
                <w:highlight w:val="none"/>
              </w:rPr>
              <w:t>保证金</w:t>
            </w:r>
            <w:bookmarkEnd w:id="109"/>
            <w:r>
              <w:rPr>
                <w:rFonts w:hint="eastAsia" w:ascii="仿宋_GB2312" w:hAnsi="仿宋_GB2312" w:eastAsia="仿宋_GB2312" w:cs="仿宋_GB2312"/>
                <w:sz w:val="32"/>
                <w:szCs w:val="32"/>
                <w:highlight w:val="none"/>
              </w:rPr>
              <w:t>缴纳时间</w:t>
            </w:r>
          </w:p>
        </w:tc>
        <w:tc>
          <w:tcPr>
            <w:tcW w:w="5361" w:type="dxa"/>
            <w:vAlign w:val="center"/>
          </w:tcPr>
          <w:p w14:paraId="1A7A0607">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日17</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00之前</w:t>
            </w:r>
          </w:p>
        </w:tc>
      </w:tr>
      <w:tr w14:paraId="7706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585AF2DA">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p>
        </w:tc>
        <w:tc>
          <w:tcPr>
            <w:tcW w:w="2860" w:type="dxa"/>
            <w:vAlign w:val="center"/>
          </w:tcPr>
          <w:p w14:paraId="3423794D">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答疑时间</w:t>
            </w:r>
          </w:p>
        </w:tc>
        <w:tc>
          <w:tcPr>
            <w:tcW w:w="5361" w:type="dxa"/>
            <w:vAlign w:val="center"/>
          </w:tcPr>
          <w:p w14:paraId="4FF14C39">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tc>
      </w:tr>
      <w:tr w14:paraId="344B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3DDF5A8E">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w:t>
            </w:r>
          </w:p>
        </w:tc>
        <w:tc>
          <w:tcPr>
            <w:tcW w:w="2860" w:type="dxa"/>
            <w:vAlign w:val="center"/>
          </w:tcPr>
          <w:p w14:paraId="3CA1D5AC">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递交响应文件</w:t>
            </w:r>
          </w:p>
          <w:p w14:paraId="278F0A64">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截止时间</w:t>
            </w:r>
          </w:p>
        </w:tc>
        <w:tc>
          <w:tcPr>
            <w:tcW w:w="5361" w:type="dxa"/>
            <w:vAlign w:val="center"/>
          </w:tcPr>
          <w:p w14:paraId="358E6F2D">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w:t>
            </w:r>
          </w:p>
        </w:tc>
      </w:tr>
      <w:tr w14:paraId="3ACB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5F7C02C1">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w:t>
            </w:r>
          </w:p>
        </w:tc>
        <w:tc>
          <w:tcPr>
            <w:tcW w:w="2860" w:type="dxa"/>
            <w:vAlign w:val="center"/>
          </w:tcPr>
          <w:p w14:paraId="3382941C">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响应文件评审时间</w:t>
            </w:r>
          </w:p>
        </w:tc>
        <w:tc>
          <w:tcPr>
            <w:tcW w:w="5361" w:type="dxa"/>
            <w:vAlign w:val="center"/>
          </w:tcPr>
          <w:p w14:paraId="3378C286">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w:t>
            </w:r>
          </w:p>
        </w:tc>
      </w:tr>
      <w:tr w14:paraId="7A19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28FCA1E9">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1</w:t>
            </w:r>
          </w:p>
        </w:tc>
        <w:tc>
          <w:tcPr>
            <w:tcW w:w="2860" w:type="dxa"/>
            <w:vAlign w:val="center"/>
          </w:tcPr>
          <w:p w14:paraId="7EDC3F28">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合同签订时间</w:t>
            </w:r>
          </w:p>
        </w:tc>
        <w:tc>
          <w:tcPr>
            <w:tcW w:w="5361" w:type="dxa"/>
            <w:vAlign w:val="center"/>
          </w:tcPr>
          <w:p w14:paraId="626FE7BA">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成交通知书下达后7日内</w:t>
            </w:r>
          </w:p>
        </w:tc>
      </w:tr>
      <w:tr w14:paraId="55A0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469C8C9B">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2</w:t>
            </w:r>
          </w:p>
        </w:tc>
        <w:tc>
          <w:tcPr>
            <w:tcW w:w="2860" w:type="dxa"/>
            <w:vAlign w:val="center"/>
          </w:tcPr>
          <w:p w14:paraId="7ECAFE88">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响应文件投递地点</w:t>
            </w:r>
          </w:p>
        </w:tc>
        <w:tc>
          <w:tcPr>
            <w:tcW w:w="5361" w:type="dxa"/>
            <w:vAlign w:val="center"/>
          </w:tcPr>
          <w:p w14:paraId="4C939AA5">
            <w:pPr>
              <w:spacing w:line="560" w:lineRule="exac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福建省福州市鼓楼区东水路18号交通运输厅26楼</w:t>
            </w:r>
            <w:r>
              <w:rPr>
                <w:rFonts w:hint="eastAsia" w:ascii="仿宋_GB2312" w:hAnsi="仿宋_GB2312" w:eastAsia="仿宋_GB2312" w:cs="仿宋_GB2312"/>
                <w:sz w:val="32"/>
                <w:szCs w:val="32"/>
                <w:highlight w:val="none"/>
                <w:lang w:eastAsia="zh-CN"/>
              </w:rPr>
              <w:t>福路通资源循环（福建）有限公司</w:t>
            </w:r>
          </w:p>
        </w:tc>
      </w:tr>
      <w:tr w14:paraId="663F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0C558305">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w:t>
            </w:r>
          </w:p>
        </w:tc>
        <w:tc>
          <w:tcPr>
            <w:tcW w:w="2860" w:type="dxa"/>
            <w:vAlign w:val="center"/>
          </w:tcPr>
          <w:p w14:paraId="4790025A">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w:t>
            </w:r>
            <w:r>
              <w:rPr>
                <w:rFonts w:hint="eastAsia" w:ascii="仿宋_GB2312" w:hAnsi="仿宋_GB2312" w:eastAsia="仿宋_GB2312" w:cs="仿宋_GB2312"/>
                <w:sz w:val="32"/>
                <w:szCs w:val="32"/>
                <w:highlight w:val="none"/>
                <w:lang w:val="en-US" w:eastAsia="zh-CN"/>
              </w:rPr>
              <w:t>付</w:t>
            </w:r>
            <w:r>
              <w:rPr>
                <w:rFonts w:hint="eastAsia" w:ascii="仿宋_GB2312" w:hAnsi="仿宋_GB2312" w:eastAsia="仿宋_GB2312" w:cs="仿宋_GB2312"/>
                <w:sz w:val="32"/>
                <w:szCs w:val="32"/>
                <w:highlight w:val="none"/>
              </w:rPr>
              <w:t>时间、地点</w:t>
            </w:r>
          </w:p>
        </w:tc>
        <w:tc>
          <w:tcPr>
            <w:tcW w:w="5361" w:type="dxa"/>
            <w:vAlign w:val="center"/>
          </w:tcPr>
          <w:p w14:paraId="7AB6FEA0">
            <w:pPr>
              <w:spacing w:line="560" w:lineRule="exact"/>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交</w:t>
            </w:r>
            <w:r>
              <w:rPr>
                <w:rFonts w:hint="eastAsia" w:ascii="仿宋_GB2312" w:hAnsi="仿宋_GB2312" w:eastAsia="仿宋_GB2312" w:cs="仿宋_GB2312"/>
                <w:sz w:val="32"/>
                <w:szCs w:val="32"/>
                <w:highlight w:val="none"/>
                <w:lang w:val="en-US" w:eastAsia="zh-CN"/>
              </w:rPr>
              <w:t>付</w:t>
            </w:r>
            <w:r>
              <w:rPr>
                <w:rFonts w:hint="eastAsia" w:ascii="仿宋_GB2312" w:hAnsi="仿宋_GB2312" w:eastAsia="仿宋_GB2312" w:cs="仿宋_GB2312"/>
                <w:sz w:val="32"/>
                <w:szCs w:val="32"/>
                <w:highlight w:val="none"/>
              </w:rPr>
              <w:t>时间：供应商按询价采购人通知的</w:t>
            </w:r>
            <w:r>
              <w:rPr>
                <w:rFonts w:hint="eastAsia" w:ascii="仿宋_GB2312" w:hAnsi="仿宋_GB2312" w:eastAsia="仿宋_GB2312" w:cs="仿宋_GB2312"/>
                <w:sz w:val="32"/>
                <w:szCs w:val="32"/>
                <w:highlight w:val="none"/>
                <w:lang w:val="en-US" w:eastAsia="zh-CN"/>
              </w:rPr>
              <w:t>时间完成该项服务，具体以正式签订的合同约定为准。</w:t>
            </w:r>
          </w:p>
          <w:p w14:paraId="59532859">
            <w:pPr>
              <w:spacing w:line="560" w:lineRule="exac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交</w:t>
            </w:r>
            <w:r>
              <w:rPr>
                <w:rFonts w:hint="eastAsia" w:ascii="仿宋_GB2312" w:hAnsi="仿宋_GB2312" w:eastAsia="仿宋_GB2312" w:cs="仿宋_GB2312"/>
                <w:sz w:val="32"/>
                <w:szCs w:val="32"/>
                <w:highlight w:val="none"/>
                <w:lang w:val="en-US" w:eastAsia="zh-CN"/>
              </w:rPr>
              <w:t>付</w:t>
            </w:r>
            <w:r>
              <w:rPr>
                <w:rFonts w:hint="eastAsia" w:ascii="仿宋_GB2312" w:hAnsi="仿宋_GB2312" w:eastAsia="仿宋_GB2312" w:cs="仿宋_GB2312"/>
                <w:sz w:val="32"/>
                <w:szCs w:val="32"/>
                <w:highlight w:val="none"/>
              </w:rPr>
              <w:t>地点：</w:t>
            </w:r>
            <w:r>
              <w:rPr>
                <w:rFonts w:hint="eastAsia" w:ascii="仿宋_GB2312" w:hAnsi="仿宋_GB2312" w:eastAsia="仿宋_GB2312" w:cs="仿宋_GB2312"/>
                <w:sz w:val="32"/>
                <w:szCs w:val="32"/>
                <w:highlight w:val="none"/>
                <w:lang w:val="en-US" w:eastAsia="zh-CN"/>
              </w:rPr>
              <w:t>福建省内</w:t>
            </w:r>
          </w:p>
        </w:tc>
      </w:tr>
      <w:tr w14:paraId="4691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395A95B0">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4</w:t>
            </w:r>
          </w:p>
        </w:tc>
        <w:tc>
          <w:tcPr>
            <w:tcW w:w="2860" w:type="dxa"/>
            <w:vAlign w:val="center"/>
          </w:tcPr>
          <w:p w14:paraId="632D463F">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成交办法</w:t>
            </w:r>
          </w:p>
        </w:tc>
        <w:tc>
          <w:tcPr>
            <w:tcW w:w="5361" w:type="dxa"/>
            <w:vAlign w:val="center"/>
          </w:tcPr>
          <w:p w14:paraId="5AECB966">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最低评审价法</w:t>
            </w:r>
          </w:p>
        </w:tc>
      </w:tr>
      <w:tr w14:paraId="362F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5352A1EE">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5</w:t>
            </w:r>
          </w:p>
        </w:tc>
        <w:tc>
          <w:tcPr>
            <w:tcW w:w="2860" w:type="dxa"/>
            <w:vAlign w:val="center"/>
          </w:tcPr>
          <w:p w14:paraId="241AF90F">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成交结果公示媒介</w:t>
            </w:r>
          </w:p>
        </w:tc>
        <w:tc>
          <w:tcPr>
            <w:tcW w:w="5361" w:type="dxa"/>
            <w:vAlign w:val="center"/>
          </w:tcPr>
          <w:p w14:paraId="39D186DF">
            <w:pPr>
              <w:wordWrap w:val="0"/>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本项目成交结果公示在</w:t>
            </w:r>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公示栏及福建省高速公路集团有限公司（www.fjgsgl.com），各供应商自行查看</w:t>
            </w:r>
          </w:p>
        </w:tc>
      </w:tr>
      <w:tr w14:paraId="499B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6764F3CC">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6</w:t>
            </w:r>
          </w:p>
        </w:tc>
        <w:tc>
          <w:tcPr>
            <w:tcW w:w="2860" w:type="dxa"/>
            <w:vAlign w:val="center"/>
          </w:tcPr>
          <w:p w14:paraId="26E9CEF9">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响应有效期</w:t>
            </w:r>
          </w:p>
        </w:tc>
        <w:tc>
          <w:tcPr>
            <w:tcW w:w="5361" w:type="dxa"/>
            <w:vAlign w:val="center"/>
          </w:tcPr>
          <w:p w14:paraId="72B5F594">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自响应文件递交截止时间起90日</w:t>
            </w:r>
          </w:p>
        </w:tc>
      </w:tr>
    </w:tbl>
    <w:p w14:paraId="6051BE41">
      <w:pPr>
        <w:spacing w:line="560" w:lineRule="exact"/>
        <w:ind w:firstLine="640" w:firstLineChars="200"/>
        <w:outlineLvl w:val="0"/>
        <w:rPr>
          <w:rFonts w:ascii="仿宋_GB2312" w:hAnsi="仿宋_GB2312" w:eastAsia="仿宋_GB2312" w:cs="仿宋_GB2312"/>
          <w:bCs/>
          <w:sz w:val="32"/>
          <w:szCs w:val="32"/>
          <w:highlight w:val="none"/>
        </w:rPr>
      </w:pPr>
      <w:bookmarkStart w:id="110" w:name="_Toc8853"/>
      <w:bookmarkStart w:id="111" w:name="_Toc5209"/>
      <w:bookmarkStart w:id="112" w:name="_Toc8687"/>
      <w:bookmarkStart w:id="113" w:name="_Toc16231"/>
      <w:bookmarkStart w:id="114" w:name="_Toc15287"/>
      <w:bookmarkStart w:id="115" w:name="_Toc2277"/>
      <w:bookmarkStart w:id="116" w:name="_Toc26966"/>
      <w:r>
        <w:rPr>
          <w:rFonts w:hint="eastAsia" w:ascii="仿宋_GB2312" w:hAnsi="仿宋_GB2312" w:eastAsia="仿宋_GB2312" w:cs="仿宋_GB2312"/>
          <w:bCs/>
          <w:sz w:val="32"/>
          <w:szCs w:val="32"/>
          <w:highlight w:val="none"/>
        </w:rPr>
        <w:t>四、询价采购文件</w:t>
      </w:r>
      <w:bookmarkEnd w:id="110"/>
      <w:bookmarkEnd w:id="111"/>
      <w:bookmarkEnd w:id="112"/>
      <w:bookmarkEnd w:id="113"/>
      <w:bookmarkEnd w:id="114"/>
      <w:bookmarkEnd w:id="115"/>
      <w:bookmarkEnd w:id="116"/>
    </w:p>
    <w:p w14:paraId="3AFCAFF6">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（一）询价采购文件由询价采购公告；</w:t>
      </w:r>
      <w:r>
        <w:rPr>
          <w:rFonts w:hint="eastAsia" w:ascii="仿宋_GB2312" w:hAnsi="仿宋_GB2312" w:eastAsia="仿宋_GB2312" w:cs="仿宋_GB2312"/>
          <w:sz w:val="32"/>
          <w:szCs w:val="32"/>
          <w:highlight w:val="none"/>
          <w:lang w:val="en-US" w:eastAsia="zh-CN"/>
        </w:rPr>
        <w:t>服务项目及</w:t>
      </w:r>
      <w:r>
        <w:rPr>
          <w:rFonts w:hint="eastAsia" w:ascii="仿宋_GB2312" w:hAnsi="仿宋_GB2312" w:eastAsia="仿宋_GB2312" w:cs="仿宋_GB2312"/>
          <w:sz w:val="32"/>
          <w:szCs w:val="32"/>
          <w:highlight w:val="none"/>
        </w:rPr>
        <w:t>要求；供应商须知；响应文件要求；评审方法；合同主要条款、合同格式；响应文件格式共七部分组成。</w:t>
      </w:r>
    </w:p>
    <w:p w14:paraId="131FDC02">
      <w:pPr>
        <w:spacing w:line="560" w:lineRule="exact"/>
        <w:ind w:firstLine="640" w:firstLineChars="200"/>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sz w:val="32"/>
          <w:szCs w:val="32"/>
          <w:highlight w:val="none"/>
        </w:rPr>
        <w:t>（二）询价采购文件的解释权归</w:t>
      </w:r>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所有。</w:t>
      </w:r>
      <w:bookmarkStart w:id="117" w:name="_Toc7624"/>
    </w:p>
    <w:p w14:paraId="0E02CF62">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4"/>
          <w:szCs w:val="44"/>
          <w:highlight w:val="none"/>
        </w:rPr>
      </w:pPr>
      <w:bookmarkStart w:id="118" w:name="_Toc22954"/>
      <w:bookmarkStart w:id="119" w:name="_Toc2930"/>
      <w:bookmarkStart w:id="120" w:name="_Toc2833"/>
      <w:bookmarkStart w:id="121" w:name="_Toc10107"/>
      <w:bookmarkStart w:id="122" w:name="_Toc20120"/>
      <w:bookmarkStart w:id="123" w:name="_Toc13013"/>
      <w:bookmarkStart w:id="124" w:name="_Toc26461"/>
      <w:bookmarkStart w:id="125" w:name="_Toc14387"/>
      <w:bookmarkStart w:id="126" w:name="_Toc28946"/>
      <w:bookmarkStart w:id="127" w:name="_Toc19783"/>
      <w:bookmarkStart w:id="128" w:name="_Toc11939"/>
      <w:r>
        <w:rPr>
          <w:rFonts w:hint="eastAsia" w:ascii="黑体" w:hAnsi="黑体" w:eastAsia="黑体" w:cs="黑体"/>
          <w:sz w:val="44"/>
          <w:szCs w:val="44"/>
          <w:highlight w:val="none"/>
        </w:rPr>
        <w:t>第四篇  响应文件要求</w:t>
      </w:r>
      <w:bookmarkEnd w:id="117"/>
      <w:bookmarkEnd w:id="118"/>
      <w:bookmarkEnd w:id="119"/>
      <w:bookmarkEnd w:id="120"/>
      <w:bookmarkEnd w:id="121"/>
      <w:bookmarkEnd w:id="122"/>
      <w:bookmarkEnd w:id="123"/>
      <w:bookmarkEnd w:id="124"/>
      <w:bookmarkEnd w:id="125"/>
      <w:bookmarkEnd w:id="126"/>
      <w:bookmarkEnd w:id="127"/>
      <w:bookmarkEnd w:id="128"/>
      <w:bookmarkStart w:id="129" w:name="_Toc409439680"/>
      <w:bookmarkStart w:id="130" w:name="_Toc508286667"/>
    </w:p>
    <w:p w14:paraId="1CDAACEF">
      <w:pPr>
        <w:spacing w:line="560" w:lineRule="exact"/>
        <w:ind w:firstLine="643" w:firstLineChars="200"/>
        <w:rPr>
          <w:rFonts w:ascii="仿宋_GB2312" w:hAnsi="仿宋_GB2312" w:eastAsia="仿宋_GB2312" w:cs="仿宋_GB2312"/>
          <w:b/>
          <w:sz w:val="32"/>
          <w:szCs w:val="32"/>
          <w:highlight w:val="none"/>
        </w:rPr>
      </w:pPr>
    </w:p>
    <w:p w14:paraId="0C29077F">
      <w:pPr>
        <w:spacing w:line="560" w:lineRule="exact"/>
        <w:ind w:firstLine="643" w:firstLineChars="200"/>
        <w:outlineLvl w:val="0"/>
        <w:rPr>
          <w:rFonts w:ascii="仿宋_GB2312" w:hAnsi="仿宋_GB2312" w:eastAsia="仿宋_GB2312" w:cs="仿宋_GB2312"/>
          <w:b/>
          <w:sz w:val="32"/>
          <w:szCs w:val="32"/>
          <w:highlight w:val="none"/>
        </w:rPr>
      </w:pPr>
      <w:bookmarkStart w:id="131" w:name="_Toc770"/>
      <w:bookmarkStart w:id="132" w:name="_Toc3394"/>
      <w:bookmarkStart w:id="133" w:name="_Toc19694"/>
      <w:bookmarkStart w:id="134" w:name="_Toc14659"/>
      <w:bookmarkStart w:id="135" w:name="_Toc17529"/>
      <w:bookmarkStart w:id="136" w:name="_Toc12755"/>
      <w:bookmarkStart w:id="137" w:name="_Toc2546"/>
      <w:r>
        <w:rPr>
          <w:rFonts w:hint="eastAsia" w:ascii="仿宋_GB2312" w:hAnsi="仿宋_GB2312" w:eastAsia="仿宋_GB2312" w:cs="仿宋_GB2312"/>
          <w:b/>
          <w:sz w:val="32"/>
          <w:szCs w:val="32"/>
          <w:highlight w:val="none"/>
        </w:rPr>
        <w:t>一、文件要求</w:t>
      </w:r>
      <w:bookmarkEnd w:id="129"/>
      <w:bookmarkEnd w:id="130"/>
      <w:bookmarkEnd w:id="131"/>
      <w:bookmarkEnd w:id="132"/>
      <w:bookmarkEnd w:id="133"/>
      <w:bookmarkEnd w:id="134"/>
      <w:bookmarkEnd w:id="135"/>
      <w:bookmarkEnd w:id="136"/>
      <w:bookmarkEnd w:id="137"/>
      <w:r>
        <w:rPr>
          <w:rFonts w:ascii="仿宋_GB2312" w:hAnsi="仿宋_GB2312" w:eastAsia="仿宋_GB2312" w:cs="仿宋_GB2312"/>
          <w:b/>
          <w:sz w:val="32"/>
          <w:szCs w:val="32"/>
          <w:highlight w:val="none"/>
        </w:rPr>
        <w:t xml:space="preserve"> </w:t>
      </w:r>
    </w:p>
    <w:p w14:paraId="1D114F3B">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（一）供应商应当按照询价采购文件的要求编制响应文件，供应商应满足询价采购文件提出的要求和条件。</w:t>
      </w:r>
      <w:bookmarkStart w:id="138" w:name="_Toc409439681"/>
      <w:bookmarkStart w:id="139" w:name="_Toc508286668"/>
    </w:p>
    <w:p w14:paraId="3C1957D6">
      <w:pPr>
        <w:spacing w:line="560" w:lineRule="exact"/>
        <w:ind w:firstLine="643" w:firstLineChars="200"/>
        <w:outlineLvl w:val="0"/>
        <w:rPr>
          <w:rFonts w:ascii="仿宋_GB2312" w:hAnsi="仿宋_GB2312" w:eastAsia="仿宋_GB2312" w:cs="仿宋_GB2312"/>
          <w:b/>
          <w:sz w:val="32"/>
          <w:szCs w:val="32"/>
          <w:highlight w:val="none"/>
        </w:rPr>
      </w:pPr>
      <w:bookmarkStart w:id="140" w:name="_Toc5206"/>
      <w:bookmarkStart w:id="141" w:name="_Toc11543"/>
      <w:bookmarkStart w:id="142" w:name="_Toc31702"/>
      <w:bookmarkStart w:id="143" w:name="_Toc29213"/>
      <w:bookmarkStart w:id="144" w:name="_Toc9833"/>
      <w:bookmarkStart w:id="145" w:name="_Toc19647"/>
      <w:bookmarkStart w:id="146" w:name="_Toc9559"/>
      <w:r>
        <w:rPr>
          <w:rFonts w:hint="eastAsia" w:ascii="仿宋_GB2312" w:hAnsi="仿宋_GB2312" w:eastAsia="仿宋_GB2312" w:cs="仿宋_GB2312"/>
          <w:b/>
          <w:sz w:val="32"/>
          <w:szCs w:val="32"/>
          <w:highlight w:val="none"/>
        </w:rPr>
        <w:t>二、供应商响应文件的组成</w:t>
      </w:r>
      <w:bookmarkEnd w:id="138"/>
      <w:bookmarkEnd w:id="139"/>
      <w:bookmarkEnd w:id="140"/>
      <w:bookmarkEnd w:id="141"/>
      <w:bookmarkEnd w:id="142"/>
      <w:bookmarkEnd w:id="143"/>
      <w:bookmarkEnd w:id="144"/>
      <w:bookmarkEnd w:id="145"/>
      <w:bookmarkEnd w:id="146"/>
    </w:p>
    <w:p w14:paraId="334B7892">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响应文件由以下部分和供应商所做的一切有效补充、修改和承诺等文件组成，具体见第七篇“响应文件格式”。它包括：</w:t>
      </w:r>
    </w:p>
    <w:p w14:paraId="715D4BFB">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（一）报价函；</w:t>
      </w:r>
    </w:p>
    <w:p w14:paraId="2338DF4F">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（二）报价表；</w:t>
      </w:r>
    </w:p>
    <w:p w14:paraId="57DBAEBE">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（三）供应商法定代表人身份证明书；</w:t>
      </w:r>
    </w:p>
    <w:p w14:paraId="21CB8F15">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（四）供应商法定代表人授权委托书；</w:t>
      </w:r>
    </w:p>
    <w:p w14:paraId="193CED3A">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（五）资质文件。</w:t>
      </w:r>
    </w:p>
    <w:p w14:paraId="51658051">
      <w:pPr>
        <w:spacing w:line="560" w:lineRule="exact"/>
        <w:ind w:firstLine="640" w:firstLineChars="200"/>
        <w:rPr>
          <w:rFonts w:ascii="仿宋_GB2312" w:hAnsi="仿宋_GB2312" w:eastAsia="仿宋_GB2312" w:cs="仿宋_GB2312"/>
          <w:sz w:val="32"/>
          <w:szCs w:val="32"/>
          <w:highlight w:val="none"/>
        </w:rPr>
      </w:pPr>
      <w:bookmarkStart w:id="147" w:name="_Toc7340"/>
      <w:bookmarkStart w:id="148" w:name="_Toc24212"/>
      <w:r>
        <w:rPr>
          <w:rFonts w:hint="eastAsia" w:ascii="仿宋_GB2312" w:hAnsi="仿宋_GB2312" w:eastAsia="仿宋_GB2312" w:cs="仿宋_GB2312"/>
          <w:sz w:val="32"/>
          <w:szCs w:val="32"/>
          <w:highlight w:val="none"/>
        </w:rPr>
        <w:t>1.经有效年检的企业法人营业执照复印件（加盖供应商公章）；</w:t>
      </w:r>
      <w:bookmarkEnd w:id="147"/>
      <w:bookmarkEnd w:id="148"/>
    </w:p>
    <w:p w14:paraId="3DF890BF">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供应商应响应询价采购文件并且符合第三篇“第二条 供应商的合格条件”规定的资格条件。</w:t>
      </w:r>
    </w:p>
    <w:p w14:paraId="03D5C9C1">
      <w:pPr>
        <w:spacing w:line="560" w:lineRule="exact"/>
        <w:ind w:firstLine="640" w:firstLineChars="200"/>
        <w:rPr>
          <w:rFonts w:ascii="仿宋_GB2312" w:hAnsi="仿宋_GB2312" w:eastAsia="仿宋_GB2312" w:cs="仿宋_GB2312"/>
          <w:sz w:val="32"/>
          <w:szCs w:val="32"/>
          <w:highlight w:val="none"/>
        </w:rPr>
      </w:pPr>
      <w:bookmarkStart w:id="149" w:name="_Toc5871"/>
      <w:bookmarkStart w:id="150" w:name="_Toc508286669"/>
      <w:bookmarkStart w:id="151" w:name="_Toc409439682"/>
      <w:r>
        <w:rPr>
          <w:rFonts w:hint="eastAsia" w:ascii="仿宋_GB2312" w:hAnsi="仿宋_GB2312" w:eastAsia="仿宋_GB2312" w:cs="仿宋_GB2312"/>
          <w:sz w:val="32"/>
          <w:szCs w:val="32"/>
          <w:highlight w:val="none"/>
        </w:rPr>
        <w:t>（六）风险承诺书。</w:t>
      </w:r>
      <w:bookmarkEnd w:id="149"/>
    </w:p>
    <w:bookmarkEnd w:id="150"/>
    <w:bookmarkEnd w:id="151"/>
    <w:p w14:paraId="3BA9A6D6">
      <w:pPr>
        <w:spacing w:line="560" w:lineRule="exact"/>
        <w:ind w:firstLine="643" w:firstLineChars="200"/>
        <w:outlineLvl w:val="0"/>
        <w:rPr>
          <w:rFonts w:ascii="仿宋_GB2312" w:hAnsi="仿宋_GB2312" w:eastAsia="仿宋_GB2312" w:cs="仿宋_GB2312"/>
          <w:b/>
          <w:sz w:val="32"/>
          <w:szCs w:val="32"/>
          <w:highlight w:val="none"/>
        </w:rPr>
      </w:pPr>
      <w:bookmarkStart w:id="152" w:name="_Toc409439684"/>
      <w:bookmarkStart w:id="153" w:name="_Toc20621"/>
      <w:bookmarkStart w:id="154" w:name="_Toc8596"/>
      <w:bookmarkStart w:id="155" w:name="_Toc8650"/>
      <w:bookmarkStart w:id="156" w:name="_Toc508286670"/>
      <w:bookmarkStart w:id="157" w:name="_Toc2075"/>
      <w:bookmarkStart w:id="158" w:name="_Toc8909"/>
      <w:bookmarkStart w:id="159" w:name="_Toc7716"/>
      <w:bookmarkStart w:id="160" w:name="_Toc13896"/>
      <w:r>
        <w:rPr>
          <w:rFonts w:hint="eastAsia" w:ascii="仿宋_GB2312" w:hAnsi="仿宋_GB2312" w:eastAsia="仿宋_GB2312" w:cs="仿宋_GB2312"/>
          <w:b/>
          <w:sz w:val="32"/>
          <w:szCs w:val="32"/>
          <w:highlight w:val="none"/>
        </w:rPr>
        <w:t>三、响应文件的份数和签署</w:t>
      </w:r>
      <w:bookmarkEnd w:id="152"/>
      <w:bookmarkEnd w:id="153"/>
      <w:bookmarkEnd w:id="154"/>
      <w:bookmarkEnd w:id="155"/>
      <w:bookmarkEnd w:id="156"/>
      <w:bookmarkEnd w:id="157"/>
      <w:bookmarkEnd w:id="158"/>
      <w:bookmarkEnd w:id="159"/>
      <w:bookmarkEnd w:id="160"/>
    </w:p>
    <w:p w14:paraId="767242A5">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（一）响应文件一式两份，其中正本一份，副本一份，均由法定代表人或其授权代表人签署并盖公章，副本可以用正本的完整复印件。正本与副本不一致时，以正本为准。</w:t>
      </w:r>
    </w:p>
    <w:p w14:paraId="1873AB28">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（二）若供应商对响应文件的错处</w:t>
      </w:r>
      <w:r>
        <w:rPr>
          <w:rFonts w:hint="eastAsia" w:ascii="仿宋_GB2312" w:hAnsi="仿宋_GB2312" w:eastAsia="仿宋_GB2312" w:cs="仿宋_GB2312"/>
          <w:sz w:val="32"/>
          <w:szCs w:val="32"/>
          <w:highlight w:val="none"/>
          <w:lang w:eastAsia="zh-CN"/>
        </w:rPr>
        <w:t>做必要</w:t>
      </w:r>
      <w:r>
        <w:rPr>
          <w:rFonts w:hint="eastAsia" w:ascii="仿宋_GB2312" w:hAnsi="仿宋_GB2312" w:eastAsia="仿宋_GB2312" w:cs="仿宋_GB2312"/>
          <w:sz w:val="32"/>
          <w:szCs w:val="32"/>
          <w:highlight w:val="none"/>
        </w:rPr>
        <w:t>修改，则应在修改处由法人代表或授权代表签字确认。</w:t>
      </w:r>
    </w:p>
    <w:p w14:paraId="2879D0B6">
      <w:pPr>
        <w:spacing w:line="560" w:lineRule="exact"/>
        <w:ind w:firstLine="640" w:firstLineChars="200"/>
        <w:rPr>
          <w:rFonts w:ascii="仿宋_GB2312" w:hAnsi="仿宋_GB2312" w:eastAsia="仿宋_GB2312" w:cs="仿宋_GB2312"/>
          <w:sz w:val="32"/>
          <w:szCs w:val="32"/>
          <w:highlight w:val="none"/>
        </w:rPr>
      </w:pPr>
      <w:bookmarkStart w:id="161" w:name="_Toc1740"/>
      <w:bookmarkStart w:id="162" w:name="_Toc16047"/>
      <w:r>
        <w:rPr>
          <w:rFonts w:hint="eastAsia" w:ascii="仿宋_GB2312" w:hAnsi="仿宋_GB2312" w:eastAsia="仿宋_GB2312" w:cs="仿宋_GB2312"/>
          <w:sz w:val="32"/>
          <w:szCs w:val="32"/>
          <w:highlight w:val="none"/>
        </w:rPr>
        <w:t>（三）电报、电话、传真形式的响应文件概不接受。</w:t>
      </w:r>
      <w:bookmarkEnd w:id="161"/>
      <w:bookmarkEnd w:id="162"/>
      <w:bookmarkStart w:id="163" w:name="_Toc409439685"/>
      <w:bookmarkStart w:id="164" w:name="_Toc508286671"/>
    </w:p>
    <w:p w14:paraId="64488BEA">
      <w:pPr>
        <w:spacing w:line="560" w:lineRule="exact"/>
        <w:ind w:firstLine="643" w:firstLineChars="200"/>
        <w:outlineLvl w:val="0"/>
        <w:rPr>
          <w:rFonts w:ascii="仿宋_GB2312" w:hAnsi="仿宋_GB2312" w:eastAsia="仿宋_GB2312" w:cs="仿宋_GB2312"/>
          <w:b/>
          <w:sz w:val="32"/>
          <w:szCs w:val="32"/>
          <w:highlight w:val="none"/>
        </w:rPr>
      </w:pPr>
      <w:bookmarkStart w:id="165" w:name="_Toc9896"/>
      <w:bookmarkStart w:id="166" w:name="_Toc24741"/>
      <w:bookmarkStart w:id="167" w:name="_Toc12414"/>
      <w:bookmarkStart w:id="168" w:name="_Toc29421"/>
      <w:bookmarkStart w:id="169" w:name="_Toc23976"/>
      <w:bookmarkStart w:id="170" w:name="_Toc13149"/>
      <w:bookmarkStart w:id="171" w:name="_Toc32171"/>
      <w:r>
        <w:rPr>
          <w:rFonts w:hint="eastAsia" w:ascii="仿宋_GB2312" w:hAnsi="仿宋_GB2312" w:eastAsia="仿宋_GB2312" w:cs="仿宋_GB2312"/>
          <w:b/>
          <w:sz w:val="32"/>
          <w:szCs w:val="32"/>
          <w:highlight w:val="none"/>
        </w:rPr>
        <w:t>四、报价</w:t>
      </w:r>
      <w:bookmarkEnd w:id="163"/>
      <w:bookmarkEnd w:id="164"/>
      <w:bookmarkEnd w:id="165"/>
      <w:bookmarkEnd w:id="166"/>
      <w:bookmarkEnd w:id="167"/>
      <w:bookmarkEnd w:id="168"/>
      <w:bookmarkEnd w:id="169"/>
      <w:bookmarkEnd w:id="170"/>
      <w:bookmarkEnd w:id="171"/>
    </w:p>
    <w:p w14:paraId="4E2C79E2">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（一）供应商应严格按照《响应文件格式》的“响应文件”格式认真填写。</w:t>
      </w:r>
    </w:p>
    <w:p w14:paraId="1B4C9FD5">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（二）供应商的报价为一次性报价。即在报价有效期内报价价格固定不变。</w:t>
      </w:r>
    </w:p>
    <w:p w14:paraId="659C61DA">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（三）供应商可在最高控制价以下自由报价，应一次性报出不得更改的价格。供应商所报价格包括</w:t>
      </w:r>
      <w:r>
        <w:rPr>
          <w:rFonts w:hint="eastAsia" w:ascii="仿宋_GB2312" w:hAnsi="仿宋_GB2312" w:eastAsia="仿宋_GB2312" w:cs="仿宋_GB2312"/>
          <w:sz w:val="32"/>
          <w:szCs w:val="32"/>
          <w:highlight w:val="none"/>
          <w:lang w:val="en-US" w:eastAsia="zh-CN"/>
        </w:rPr>
        <w:t>2025-2026年度物流运输服务项目</w:t>
      </w:r>
      <w:r>
        <w:rPr>
          <w:rFonts w:hint="eastAsia" w:ascii="仿宋_GB2312" w:hAnsi="仿宋_GB2312" w:eastAsia="仿宋_GB2312" w:cs="仿宋_GB2312"/>
          <w:sz w:val="32"/>
          <w:szCs w:val="32"/>
          <w:highlight w:val="none"/>
        </w:rPr>
        <w:t>所需的一切费用。供应商所报的总金额超过</w:t>
      </w:r>
      <w:r>
        <w:rPr>
          <w:rFonts w:hint="eastAsia" w:ascii="仿宋_GB2312" w:hAnsi="仿宋_GB2312" w:eastAsia="仿宋_GB2312" w:cs="仿宋_GB2312"/>
          <w:sz w:val="32"/>
          <w:szCs w:val="32"/>
          <w:highlight w:val="none"/>
          <w:lang w:val="en-US" w:eastAsia="zh-CN"/>
        </w:rPr>
        <w:t>询价采购</w:t>
      </w:r>
      <w:r>
        <w:rPr>
          <w:rFonts w:hint="eastAsia" w:ascii="仿宋_GB2312" w:hAnsi="仿宋_GB2312" w:eastAsia="仿宋_GB2312" w:cs="仿宋_GB2312"/>
          <w:sz w:val="32"/>
          <w:szCs w:val="32"/>
          <w:highlight w:val="none"/>
        </w:rPr>
        <w:t>控制总金额的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单价超过询价采购控制单价的，</w:t>
      </w:r>
      <w:r>
        <w:rPr>
          <w:rFonts w:hint="eastAsia" w:ascii="仿宋_GB2312" w:hAnsi="仿宋_GB2312" w:eastAsia="仿宋_GB2312" w:cs="仿宋_GB2312"/>
          <w:sz w:val="32"/>
          <w:szCs w:val="32"/>
          <w:highlight w:val="none"/>
        </w:rPr>
        <w:t>响应文件作相应无效处理。</w:t>
      </w:r>
      <w:bookmarkStart w:id="172" w:name="_Toc271711745"/>
      <w:bookmarkStart w:id="173" w:name="_Toc508286672"/>
      <w:bookmarkStart w:id="174" w:name="_Toc409439686"/>
    </w:p>
    <w:bookmarkEnd w:id="172"/>
    <w:bookmarkEnd w:id="173"/>
    <w:bookmarkEnd w:id="174"/>
    <w:p w14:paraId="3B62E03B">
      <w:pPr>
        <w:spacing w:line="560" w:lineRule="exact"/>
        <w:ind w:firstLine="643" w:firstLineChars="200"/>
        <w:outlineLvl w:val="0"/>
        <w:rPr>
          <w:rFonts w:ascii="仿宋_GB2312" w:hAnsi="仿宋_GB2312" w:eastAsia="仿宋_GB2312" w:cs="仿宋_GB2312"/>
          <w:b/>
          <w:sz w:val="32"/>
          <w:szCs w:val="32"/>
          <w:highlight w:val="none"/>
        </w:rPr>
      </w:pPr>
      <w:bookmarkStart w:id="175" w:name="_Toc25615"/>
      <w:bookmarkStart w:id="176" w:name="_Toc508286673"/>
      <w:bookmarkStart w:id="177" w:name="_Toc30053"/>
      <w:bookmarkStart w:id="178" w:name="_Toc28405"/>
      <w:bookmarkStart w:id="179" w:name="_Toc17344"/>
      <w:bookmarkStart w:id="180" w:name="_Toc32433"/>
      <w:bookmarkStart w:id="181" w:name="_Toc25432"/>
      <w:bookmarkStart w:id="182" w:name="_Toc26394"/>
      <w:bookmarkStart w:id="183" w:name="_Toc409439687"/>
      <w:r>
        <w:rPr>
          <w:rFonts w:hint="eastAsia" w:ascii="仿宋_GB2312" w:hAnsi="仿宋_GB2312" w:eastAsia="仿宋_GB2312" w:cs="仿宋_GB2312"/>
          <w:b/>
          <w:sz w:val="32"/>
          <w:szCs w:val="32"/>
          <w:highlight w:val="none"/>
        </w:rPr>
        <w:t>五、响应文件的递交</w:t>
      </w:r>
      <w:bookmarkEnd w:id="175"/>
      <w:bookmarkEnd w:id="176"/>
      <w:bookmarkEnd w:id="177"/>
      <w:bookmarkEnd w:id="178"/>
      <w:bookmarkEnd w:id="179"/>
      <w:bookmarkEnd w:id="180"/>
      <w:bookmarkEnd w:id="181"/>
      <w:bookmarkEnd w:id="182"/>
      <w:bookmarkEnd w:id="183"/>
    </w:p>
    <w:p w14:paraId="5B4110D2">
      <w:pPr>
        <w:spacing w:line="560" w:lineRule="exact"/>
        <w:ind w:firstLine="640" w:firstLineChars="200"/>
        <w:outlineLvl w:val="1"/>
        <w:rPr>
          <w:rFonts w:ascii="仿宋_GB2312" w:hAnsi="仿宋_GB2312" w:eastAsia="仿宋_GB2312" w:cs="仿宋_GB2312"/>
          <w:sz w:val="32"/>
          <w:szCs w:val="32"/>
          <w:highlight w:val="none"/>
        </w:rPr>
      </w:pPr>
      <w:bookmarkStart w:id="184" w:name="_Toc25743"/>
      <w:bookmarkStart w:id="185" w:name="_Toc30594"/>
      <w:r>
        <w:rPr>
          <w:rFonts w:hint="eastAsia" w:ascii="仿宋_GB2312" w:hAnsi="仿宋_GB2312" w:eastAsia="仿宋_GB2312" w:cs="仿宋_GB2312"/>
          <w:sz w:val="32"/>
          <w:szCs w:val="32"/>
          <w:highlight w:val="none"/>
        </w:rPr>
        <w:t>（一）响应文件的密封与标记</w:t>
      </w:r>
      <w:bookmarkEnd w:id="184"/>
      <w:bookmarkEnd w:id="185"/>
    </w:p>
    <w:p w14:paraId="6A2F3CE0">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响应文件的封面应注明“正本”“副本”字样，一并装入密封袋密封，</w:t>
      </w:r>
      <w:r>
        <w:rPr>
          <w:rFonts w:hint="eastAsia" w:ascii="仿宋_GB2312" w:hAnsi="仿宋_GB2312" w:eastAsia="仿宋_GB2312" w:cs="仿宋_GB2312"/>
          <w:b/>
          <w:sz w:val="32"/>
          <w:szCs w:val="32"/>
          <w:highlight w:val="none"/>
        </w:rPr>
        <w:t>密封袋上注明项目名称</w:t>
      </w:r>
      <w:r>
        <w:rPr>
          <w:rFonts w:hint="eastAsia" w:ascii="仿宋_GB2312" w:hAnsi="仿宋_GB2312" w:eastAsia="仿宋_GB2312" w:cs="仿宋_GB2312"/>
          <w:sz w:val="32"/>
          <w:szCs w:val="32"/>
          <w:highlight w:val="none"/>
        </w:rPr>
        <w:t>。密封袋的封口处须加盖密封章。</w:t>
      </w:r>
    </w:p>
    <w:p w14:paraId="313F4F7E">
      <w:pPr>
        <w:spacing w:line="560" w:lineRule="exact"/>
        <w:ind w:firstLine="640" w:firstLineChars="200"/>
        <w:outlineLvl w:val="1"/>
        <w:rPr>
          <w:rFonts w:ascii="仿宋_GB2312" w:hAnsi="仿宋_GB2312" w:eastAsia="仿宋_GB2312" w:cs="仿宋_GB2312"/>
          <w:sz w:val="32"/>
          <w:szCs w:val="32"/>
          <w:highlight w:val="none"/>
        </w:rPr>
      </w:pPr>
      <w:bookmarkStart w:id="186" w:name="_Toc12001"/>
      <w:bookmarkStart w:id="187" w:name="_Toc1617"/>
      <w:r>
        <w:rPr>
          <w:rFonts w:hint="eastAsia" w:ascii="仿宋_GB2312" w:hAnsi="仿宋_GB2312" w:eastAsia="仿宋_GB2312" w:cs="仿宋_GB2312"/>
          <w:sz w:val="32"/>
          <w:szCs w:val="32"/>
          <w:highlight w:val="none"/>
        </w:rPr>
        <w:t>（二）响应文件的递交</w:t>
      </w:r>
      <w:bookmarkEnd w:id="186"/>
      <w:bookmarkEnd w:id="187"/>
    </w:p>
    <w:p w14:paraId="64D960C0">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供应商响应文件应于询价采购文件要求的递交响应文件截止时间前现场递交，响应文件的递交地点与时间见第三篇供应商须知。</w:t>
      </w:r>
      <w:bookmarkStart w:id="188" w:name="_Toc409439688"/>
      <w:bookmarkStart w:id="189" w:name="_Toc508286674"/>
    </w:p>
    <w:p w14:paraId="026186A3">
      <w:pPr>
        <w:spacing w:line="560" w:lineRule="exact"/>
        <w:ind w:firstLine="643" w:firstLineChars="200"/>
        <w:outlineLvl w:val="0"/>
        <w:rPr>
          <w:rFonts w:ascii="仿宋_GB2312" w:hAnsi="仿宋_GB2312" w:eastAsia="仿宋_GB2312" w:cs="仿宋_GB2312"/>
          <w:b/>
          <w:sz w:val="32"/>
          <w:szCs w:val="32"/>
          <w:highlight w:val="none"/>
        </w:rPr>
      </w:pPr>
      <w:bookmarkStart w:id="190" w:name="_Toc17564"/>
      <w:bookmarkStart w:id="191" w:name="_Toc6057"/>
      <w:bookmarkStart w:id="192" w:name="_Toc22265"/>
      <w:bookmarkStart w:id="193" w:name="_Toc30223"/>
      <w:bookmarkStart w:id="194" w:name="_Toc19444"/>
      <w:bookmarkStart w:id="195" w:name="_Toc29970"/>
      <w:bookmarkStart w:id="196" w:name="_Toc30532"/>
      <w:r>
        <w:rPr>
          <w:rFonts w:hint="eastAsia" w:ascii="仿宋_GB2312" w:hAnsi="仿宋_GB2312" w:eastAsia="仿宋_GB2312" w:cs="仿宋_GB2312"/>
          <w:b/>
          <w:sz w:val="32"/>
          <w:szCs w:val="32"/>
          <w:highlight w:val="none"/>
        </w:rPr>
        <w:t>六、无效</w:t>
      </w:r>
      <w:bookmarkEnd w:id="188"/>
      <w:r>
        <w:rPr>
          <w:rFonts w:hint="eastAsia" w:ascii="仿宋_GB2312" w:hAnsi="仿宋_GB2312" w:eastAsia="仿宋_GB2312" w:cs="仿宋_GB2312"/>
          <w:b/>
          <w:sz w:val="32"/>
          <w:szCs w:val="32"/>
          <w:highlight w:val="none"/>
        </w:rPr>
        <w:t>报价</w:t>
      </w:r>
      <w:bookmarkEnd w:id="189"/>
      <w:bookmarkEnd w:id="190"/>
      <w:bookmarkEnd w:id="191"/>
      <w:bookmarkEnd w:id="192"/>
      <w:bookmarkEnd w:id="193"/>
      <w:bookmarkEnd w:id="194"/>
      <w:bookmarkEnd w:id="195"/>
      <w:bookmarkEnd w:id="196"/>
    </w:p>
    <w:p w14:paraId="7276C95E">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评审小组评审时，供应商响应文件出现下列情况之一者，应为无效报价：</w:t>
      </w:r>
    </w:p>
    <w:p w14:paraId="52181728">
      <w:pPr>
        <w:spacing w:line="560" w:lineRule="exact"/>
        <w:ind w:firstLine="640" w:firstLineChars="200"/>
        <w:rPr>
          <w:rFonts w:ascii="仿宋_GB2312" w:hAnsi="仿宋_GB2312" w:eastAsia="仿宋_GB2312" w:cs="仿宋_GB2312"/>
          <w:sz w:val="32"/>
          <w:szCs w:val="32"/>
          <w:highlight w:val="none"/>
        </w:rPr>
      </w:pPr>
      <w:bookmarkStart w:id="197" w:name="_Toc31362"/>
      <w:bookmarkStart w:id="198" w:name="_Toc17547"/>
      <w:r>
        <w:rPr>
          <w:rFonts w:hint="eastAsia" w:ascii="仿宋_GB2312" w:hAnsi="仿宋_GB2312" w:eastAsia="仿宋_GB2312" w:cs="仿宋_GB2312"/>
          <w:sz w:val="32"/>
          <w:szCs w:val="32"/>
          <w:highlight w:val="none"/>
        </w:rPr>
        <w:t>（一）供应商不具备询价采购文件规定的资格要求的。</w:t>
      </w:r>
      <w:bookmarkEnd w:id="197"/>
      <w:bookmarkEnd w:id="198"/>
    </w:p>
    <w:p w14:paraId="013D3B9E">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（二）供应商未按照询价采购文件要求由供应商法定代表人或授权委托人签字，或未按询价采购文件要求的格式加盖公章的（</w:t>
      </w:r>
      <w:r>
        <w:rPr>
          <w:rFonts w:hint="eastAsia" w:ascii="仿宋_GB2312" w:eastAsia="仿宋_GB2312"/>
          <w:color w:val="000000"/>
          <w:sz w:val="32"/>
          <w:szCs w:val="32"/>
          <w:highlight w:val="none"/>
          <w:lang w:eastAsia="zh-CN"/>
        </w:rPr>
        <w:t>应逐页盖章并加盖骑缝章，及需签字部分</w:t>
      </w:r>
      <w:r>
        <w:rPr>
          <w:rFonts w:hint="eastAsia" w:ascii="仿宋_GB2312" w:hAnsi="仿宋_GB2312" w:eastAsia="仿宋_GB2312" w:cs="仿宋_GB2312"/>
          <w:sz w:val="32"/>
          <w:szCs w:val="32"/>
          <w:highlight w:val="none"/>
        </w:rPr>
        <w:t>）。</w:t>
      </w:r>
    </w:p>
    <w:p w14:paraId="2524C6F6">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（三）响应文件出现多个报价方案或报价的。</w:t>
      </w:r>
    </w:p>
    <w:p w14:paraId="0EF18571">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（四）响应报价超出询价采购文件规定的询价采购控制价的。</w:t>
      </w:r>
    </w:p>
    <w:p w14:paraId="6298F642">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（五）响应有效期、交货时间等商务条款不能满足询价采购文件要求的。</w:t>
      </w:r>
    </w:p>
    <w:p w14:paraId="212C3EFF">
      <w:pPr>
        <w:spacing w:line="560" w:lineRule="exact"/>
        <w:ind w:firstLine="640" w:firstLineChars="200"/>
        <w:rPr>
          <w:rFonts w:ascii="仿宋_GB2312" w:hAnsi="仿宋_GB2312" w:eastAsia="仿宋_GB2312" w:cs="仿宋_GB2312"/>
          <w:sz w:val="32"/>
          <w:szCs w:val="32"/>
          <w:highlight w:val="none"/>
        </w:rPr>
      </w:pPr>
      <w:bookmarkStart w:id="199" w:name="_Toc14743"/>
      <w:bookmarkStart w:id="200" w:name="_Toc3304"/>
      <w:r>
        <w:rPr>
          <w:rFonts w:hint="eastAsia" w:ascii="仿宋_GB2312" w:hAnsi="仿宋_GB2312" w:eastAsia="仿宋_GB2312" w:cs="仿宋_GB2312"/>
          <w:sz w:val="32"/>
          <w:szCs w:val="32"/>
          <w:highlight w:val="none"/>
        </w:rPr>
        <w:t>（六）报价产品不符合必须强制执行的国家标准的。</w:t>
      </w:r>
      <w:bookmarkEnd w:id="199"/>
      <w:bookmarkEnd w:id="200"/>
    </w:p>
    <w:p w14:paraId="397985EB">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（七）响应文件含有违反国家法律法规的内容，或附有询价采购人不能接受的条件的。</w:t>
      </w:r>
    </w:p>
    <w:p w14:paraId="62755769">
      <w:pPr>
        <w:pageBreakBefore/>
        <w:spacing w:line="560" w:lineRule="exact"/>
        <w:jc w:val="center"/>
        <w:outlineLvl w:val="0"/>
        <w:rPr>
          <w:rFonts w:hint="eastAsia" w:ascii="黑体" w:hAnsi="黑体" w:eastAsia="黑体" w:cs="黑体"/>
          <w:sz w:val="44"/>
          <w:szCs w:val="44"/>
          <w:highlight w:val="none"/>
        </w:rPr>
      </w:pPr>
      <w:bookmarkStart w:id="201" w:name="_Toc30901"/>
      <w:bookmarkStart w:id="202" w:name="_Toc29924"/>
      <w:bookmarkStart w:id="203" w:name="_Toc30156"/>
      <w:bookmarkStart w:id="204" w:name="_Toc12087"/>
      <w:bookmarkStart w:id="205" w:name="_Toc25362"/>
      <w:bookmarkStart w:id="206" w:name="_Toc187"/>
      <w:bookmarkStart w:id="207" w:name="_Toc31747"/>
      <w:bookmarkStart w:id="208" w:name="_Toc15908"/>
      <w:bookmarkStart w:id="209" w:name="_Toc1821"/>
      <w:bookmarkStart w:id="210" w:name="_Toc24320"/>
      <w:bookmarkStart w:id="211" w:name="_Toc27561"/>
      <w:bookmarkStart w:id="212" w:name="_Toc23564"/>
      <w:bookmarkStart w:id="213" w:name="_Toc9116"/>
      <w:bookmarkStart w:id="214" w:name="_Toc8805"/>
      <w:bookmarkStart w:id="215" w:name="_Toc122257617"/>
      <w:bookmarkStart w:id="216" w:name="_Toc122750639"/>
      <w:r>
        <w:rPr>
          <w:rFonts w:hint="eastAsia" w:ascii="黑体" w:hAnsi="黑体" w:eastAsia="黑体" w:cs="黑体"/>
          <w:sz w:val="44"/>
          <w:szCs w:val="44"/>
          <w:highlight w:val="none"/>
        </w:rPr>
        <w:t>第五篇  评审办法</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7" w:name="_Toc409439690"/>
      <w:bookmarkStart w:id="218" w:name="_Toc508286676"/>
    </w:p>
    <w:p w14:paraId="4AA74836">
      <w:pPr>
        <w:spacing w:line="560" w:lineRule="exact"/>
        <w:ind w:firstLine="643" w:firstLineChars="200"/>
        <w:rPr>
          <w:rFonts w:ascii="仿宋_GB2312" w:eastAsia="仿宋_GB2312"/>
          <w:b/>
          <w:sz w:val="32"/>
          <w:szCs w:val="32"/>
          <w:highlight w:val="none"/>
        </w:rPr>
      </w:pPr>
    </w:p>
    <w:p w14:paraId="0E8A1D22">
      <w:pPr>
        <w:spacing w:line="560" w:lineRule="exact"/>
        <w:ind w:firstLine="643" w:firstLineChars="200"/>
        <w:outlineLvl w:val="0"/>
        <w:rPr>
          <w:rFonts w:ascii="仿宋_GB2312" w:eastAsia="仿宋_GB2312"/>
          <w:b/>
          <w:sz w:val="32"/>
          <w:szCs w:val="32"/>
          <w:highlight w:val="none"/>
        </w:rPr>
      </w:pPr>
      <w:bookmarkStart w:id="219" w:name="_Toc4305"/>
      <w:bookmarkStart w:id="220" w:name="_Toc30040"/>
      <w:bookmarkStart w:id="221" w:name="_Toc15450"/>
      <w:bookmarkStart w:id="222" w:name="_Toc4306"/>
      <w:bookmarkStart w:id="223" w:name="_Toc28055"/>
      <w:bookmarkStart w:id="224" w:name="_Toc8468"/>
      <w:bookmarkStart w:id="225" w:name="_Toc16695"/>
      <w:r>
        <w:rPr>
          <w:rFonts w:hint="eastAsia" w:ascii="仿宋_GB2312" w:eastAsia="仿宋_GB2312"/>
          <w:b/>
          <w:sz w:val="32"/>
          <w:szCs w:val="32"/>
          <w:highlight w:val="none"/>
        </w:rPr>
        <w:t>一、响应文件开封</w:t>
      </w:r>
      <w:bookmarkEnd w:id="219"/>
      <w:bookmarkEnd w:id="220"/>
      <w:bookmarkEnd w:id="221"/>
      <w:bookmarkEnd w:id="222"/>
      <w:bookmarkEnd w:id="223"/>
      <w:bookmarkEnd w:id="224"/>
      <w:bookmarkEnd w:id="225"/>
    </w:p>
    <w:p w14:paraId="638C48D6">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（一）响应文件开封在询价采购文件中“询价采购公告”确定的时间和地点公开进行。</w:t>
      </w:r>
    </w:p>
    <w:p w14:paraId="17D32F62">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（二）询价采购人可以视询价采购具体情况，延长询价采购截止时间和开封时间，但至少应当在询价采购文件要求提交响应文件的截止时间三日前，将变更时间书面通知所有报价供应商。</w:t>
      </w:r>
    </w:p>
    <w:p w14:paraId="1BCD7CD3">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（三）评审会由询价采购人主持，询价采购人、供应商或有关方面代表参加。</w:t>
      </w:r>
    </w:p>
    <w:p w14:paraId="353A634D">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（四）响应文件开封时，由询价采购方或供应商推选的代表检查响应文件的密封情况，经确认无误后，由询价采购方工作人员当众拆封宣读，宣读供应商名称、正本“报价表”内容，以及其他主要内容并记录。</w:t>
      </w:r>
    </w:p>
    <w:p w14:paraId="1C0040BD">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（五）响应文件开封过程由询价采购人指定专人负责记录，并存档备查。</w:t>
      </w:r>
    </w:p>
    <w:p w14:paraId="50C05C3D">
      <w:pPr>
        <w:spacing w:line="560" w:lineRule="exact"/>
        <w:ind w:firstLine="643" w:firstLineChars="200"/>
        <w:outlineLvl w:val="0"/>
        <w:rPr>
          <w:rFonts w:ascii="仿宋_GB2312" w:eastAsia="仿宋_GB2312"/>
          <w:b/>
          <w:sz w:val="32"/>
          <w:szCs w:val="32"/>
          <w:highlight w:val="none"/>
        </w:rPr>
      </w:pPr>
      <w:bookmarkStart w:id="226" w:name="_Toc30567"/>
      <w:bookmarkStart w:id="227" w:name="_Toc1733"/>
      <w:bookmarkStart w:id="228" w:name="_Toc1053"/>
      <w:bookmarkStart w:id="229" w:name="_Toc183"/>
      <w:bookmarkStart w:id="230" w:name="_Toc29177"/>
      <w:bookmarkStart w:id="231" w:name="_Toc5613"/>
      <w:bookmarkStart w:id="232" w:name="_Toc22113"/>
      <w:r>
        <w:rPr>
          <w:rFonts w:hint="eastAsia" w:ascii="仿宋_GB2312" w:eastAsia="仿宋_GB2312"/>
          <w:b/>
          <w:sz w:val="32"/>
          <w:szCs w:val="32"/>
          <w:highlight w:val="none"/>
        </w:rPr>
        <w:t>二、响应文件评审</w:t>
      </w:r>
      <w:bookmarkEnd w:id="226"/>
      <w:bookmarkEnd w:id="227"/>
      <w:bookmarkEnd w:id="228"/>
      <w:bookmarkEnd w:id="229"/>
      <w:bookmarkEnd w:id="230"/>
      <w:bookmarkEnd w:id="231"/>
      <w:bookmarkEnd w:id="232"/>
    </w:p>
    <w:p w14:paraId="7E9F783B">
      <w:pPr>
        <w:spacing w:line="560" w:lineRule="exact"/>
        <w:ind w:firstLine="640" w:firstLineChars="200"/>
        <w:outlineLvl w:val="1"/>
        <w:rPr>
          <w:rFonts w:ascii="仿宋_GB2312" w:eastAsia="仿宋_GB2312"/>
          <w:sz w:val="32"/>
          <w:szCs w:val="32"/>
          <w:highlight w:val="none"/>
        </w:rPr>
      </w:pPr>
      <w:bookmarkStart w:id="233" w:name="_Toc20519"/>
      <w:bookmarkStart w:id="234" w:name="_Toc12949"/>
      <w:r>
        <w:rPr>
          <w:rFonts w:hint="eastAsia" w:ascii="仿宋_GB2312" w:eastAsia="仿宋_GB2312"/>
          <w:sz w:val="32"/>
          <w:szCs w:val="32"/>
          <w:highlight w:val="none"/>
        </w:rPr>
        <w:t>（一）评审小组的组成</w:t>
      </w:r>
      <w:bookmarkEnd w:id="233"/>
      <w:bookmarkEnd w:id="234"/>
    </w:p>
    <w:p w14:paraId="46D47B1A">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询价采购人按</w:t>
      </w:r>
      <w:r>
        <w:rPr>
          <w:rFonts w:hint="eastAsia" w:ascii="仿宋_GB2312" w:eastAsia="仿宋_GB2312"/>
          <w:sz w:val="32"/>
          <w:szCs w:val="32"/>
          <w:highlight w:val="none"/>
          <w:lang w:val="en-US" w:eastAsia="zh-CN"/>
        </w:rPr>
        <w:t>有关规定</w:t>
      </w:r>
      <w:r>
        <w:rPr>
          <w:rFonts w:hint="eastAsia" w:ascii="仿宋_GB2312" w:eastAsia="仿宋_GB2312"/>
          <w:sz w:val="32"/>
          <w:szCs w:val="32"/>
          <w:highlight w:val="none"/>
        </w:rPr>
        <w:t>要求并根据询价采购项目特点组成评审小组。</w:t>
      </w:r>
    </w:p>
    <w:p w14:paraId="60835E19">
      <w:pPr>
        <w:spacing w:line="560" w:lineRule="exact"/>
        <w:ind w:firstLine="640" w:firstLineChars="200"/>
        <w:outlineLvl w:val="1"/>
        <w:rPr>
          <w:rFonts w:ascii="仿宋_GB2312" w:eastAsia="仿宋_GB2312"/>
          <w:sz w:val="32"/>
          <w:szCs w:val="32"/>
          <w:highlight w:val="none"/>
        </w:rPr>
      </w:pPr>
      <w:bookmarkStart w:id="235" w:name="_Toc304"/>
      <w:bookmarkStart w:id="236" w:name="_Toc18395"/>
      <w:r>
        <w:rPr>
          <w:rFonts w:hint="eastAsia" w:ascii="仿宋_GB2312" w:eastAsia="仿宋_GB2312"/>
          <w:sz w:val="32"/>
          <w:szCs w:val="32"/>
          <w:highlight w:val="none"/>
        </w:rPr>
        <w:t>（二）评审方法和依据</w:t>
      </w:r>
      <w:bookmarkEnd w:id="235"/>
      <w:bookmarkEnd w:id="236"/>
    </w:p>
    <w:p w14:paraId="2ABDD421">
      <w:pPr>
        <w:spacing w:line="560" w:lineRule="exact"/>
        <w:ind w:firstLine="640" w:firstLineChars="200"/>
        <w:outlineLvl w:val="2"/>
        <w:rPr>
          <w:rFonts w:ascii="仿宋_GB2312" w:eastAsia="仿宋_GB2312"/>
          <w:sz w:val="32"/>
          <w:szCs w:val="32"/>
          <w:highlight w:val="none"/>
        </w:rPr>
      </w:pPr>
      <w:bookmarkStart w:id="237" w:name="_Toc23432"/>
      <w:r>
        <w:rPr>
          <w:rFonts w:hint="eastAsia" w:ascii="仿宋_GB2312" w:eastAsia="仿宋_GB2312"/>
          <w:sz w:val="32"/>
          <w:szCs w:val="32"/>
          <w:highlight w:val="none"/>
        </w:rPr>
        <w:t>1.评审办法：</w:t>
      </w:r>
      <w:bookmarkEnd w:id="237"/>
      <w:r>
        <w:rPr>
          <w:rFonts w:hint="eastAsia" w:ascii="仿宋_GB2312" w:eastAsia="仿宋_GB2312"/>
          <w:sz w:val="32"/>
          <w:szCs w:val="32"/>
          <w:highlight w:val="none"/>
        </w:rPr>
        <w:t xml:space="preserve"> </w:t>
      </w:r>
    </w:p>
    <w:p w14:paraId="4F7FB0CE">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评审小组从质量和服务均能满足询价采购文件实质性响应要求的供应商中，按照报价总价由低到高的顺序不多于3名成交候选人，并编写评审报告。</w:t>
      </w:r>
    </w:p>
    <w:p w14:paraId="70AEBF3A">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询价采购人从评审报告推荐的成交候选人中，根据质量和服务均能满足询价采购文件实质性响应要求且报价最低的原则确定成交人。</w:t>
      </w:r>
    </w:p>
    <w:p w14:paraId="7AEAFF97">
      <w:pPr>
        <w:spacing w:line="560" w:lineRule="exact"/>
        <w:ind w:firstLine="640" w:firstLineChars="200"/>
        <w:outlineLvl w:val="2"/>
        <w:rPr>
          <w:rFonts w:ascii="仿宋_GB2312" w:eastAsia="仿宋_GB2312"/>
          <w:sz w:val="32"/>
          <w:szCs w:val="32"/>
          <w:highlight w:val="none"/>
        </w:rPr>
      </w:pPr>
      <w:bookmarkStart w:id="238" w:name="_Toc9817"/>
      <w:r>
        <w:rPr>
          <w:rFonts w:hint="eastAsia" w:ascii="仿宋_GB2312" w:eastAsia="仿宋_GB2312"/>
          <w:sz w:val="32"/>
          <w:szCs w:val="32"/>
          <w:highlight w:val="none"/>
        </w:rPr>
        <w:t>2.评审依据：</w:t>
      </w:r>
      <w:bookmarkEnd w:id="238"/>
    </w:p>
    <w:p w14:paraId="245C36DF">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评审的依据为询价采购文件（含有效的补充文件），评审小组判断供应商对询价采购文件的响应仅基于响应文件本身而不靠外部证据。</w:t>
      </w:r>
    </w:p>
    <w:p w14:paraId="00B1DBF6">
      <w:pPr>
        <w:spacing w:line="560" w:lineRule="exact"/>
        <w:ind w:firstLine="640" w:firstLineChars="200"/>
        <w:outlineLvl w:val="2"/>
        <w:rPr>
          <w:rFonts w:ascii="仿宋_GB2312" w:eastAsia="仿宋_GB2312"/>
          <w:sz w:val="32"/>
          <w:szCs w:val="32"/>
          <w:highlight w:val="none"/>
        </w:rPr>
      </w:pPr>
      <w:bookmarkStart w:id="239" w:name="_Toc4555"/>
      <w:r>
        <w:rPr>
          <w:rFonts w:hint="eastAsia" w:ascii="仿宋_GB2312" w:eastAsia="仿宋_GB2312"/>
          <w:sz w:val="32"/>
          <w:szCs w:val="32"/>
          <w:highlight w:val="none"/>
        </w:rPr>
        <w:t>3.评审原则：</w:t>
      </w:r>
      <w:bookmarkEnd w:id="239"/>
    </w:p>
    <w:p w14:paraId="425022C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（1）对所有有效报价的评价，都采用相同的程序和标准。</w:t>
      </w:r>
    </w:p>
    <w:p w14:paraId="17528E1A">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（2）评审严格按照询价采购文件的要求和条件进行。</w:t>
      </w:r>
    </w:p>
    <w:p w14:paraId="552232AB">
      <w:pPr>
        <w:spacing w:line="560" w:lineRule="exact"/>
        <w:ind w:firstLine="640" w:firstLineChars="200"/>
        <w:outlineLvl w:val="2"/>
        <w:rPr>
          <w:rFonts w:ascii="仿宋_GB2312" w:eastAsia="仿宋_GB2312"/>
          <w:sz w:val="32"/>
          <w:szCs w:val="32"/>
          <w:highlight w:val="none"/>
        </w:rPr>
      </w:pPr>
      <w:bookmarkStart w:id="240" w:name="_Toc4980"/>
      <w:r>
        <w:rPr>
          <w:rFonts w:hint="eastAsia" w:ascii="仿宋_GB2312" w:eastAsia="仿宋_GB2312"/>
          <w:sz w:val="32"/>
          <w:szCs w:val="32"/>
          <w:highlight w:val="none"/>
        </w:rPr>
        <w:t>4.评审程序</w:t>
      </w:r>
      <w:bookmarkEnd w:id="240"/>
    </w:p>
    <w:p w14:paraId="1BFE9EF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（1）根据《询价采购文件》的要求和规定，评审小组首先对各供应商的《响应文件》进行初审。</w:t>
      </w:r>
    </w:p>
    <w:p w14:paraId="12244EB5">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初审分资格性检查和符合性检查：资格性检查是依据法律法规和询价采购文件的规定，对响应文件中的资格证明等进行审查，以确定供应商是否具备报价资格；符合性检查是依据询价采购文件的规定，从响应文件的有效性、完整性和对询价采购文件的响应程度进行审查，以确定供应商是否对询价采购文件的实质性要求作出响应。</w:t>
      </w:r>
    </w:p>
    <w:p w14:paraId="15EC305A">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澄清有关问题。为了有助于对响应文件进行审查、评估和比较，评审小组可以对响应文件中含义不明确、同类问题表述不一致或者有明显文字和计算错误的内容向供应商质疑，要求供应商作出必要的澄清、说明或纠正。供应商的澄清、说明或者补正应当采用书面形式，由其授权代表签字，并不得超出响应文件的范围或者改变响应文件的实质性内容。书面承诺为其响应文件的组成部分。</w:t>
      </w:r>
    </w:p>
    <w:p w14:paraId="2107A1D2">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（3）比较与评价。评审小组对初审合格的响应文件按照询价采购文件中规定的评审方法和标准进行综合比较和评价。</w:t>
      </w:r>
    </w:p>
    <w:p w14:paraId="3CD7C6D0">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（4）评审小组根据确定的评审方法和标准进行比较、排序，推荐出成交候选人。</w:t>
      </w:r>
    </w:p>
    <w:p w14:paraId="3CF2E504">
      <w:pPr>
        <w:spacing w:line="560" w:lineRule="exact"/>
        <w:ind w:firstLine="643" w:firstLineChars="200"/>
        <w:outlineLvl w:val="0"/>
        <w:rPr>
          <w:rFonts w:ascii="仿宋_GB2312" w:eastAsia="仿宋_GB2312"/>
          <w:b/>
          <w:sz w:val="32"/>
          <w:szCs w:val="32"/>
          <w:highlight w:val="none"/>
        </w:rPr>
      </w:pPr>
      <w:bookmarkStart w:id="241" w:name="_Toc23338"/>
      <w:bookmarkStart w:id="242" w:name="_Toc4340"/>
      <w:bookmarkStart w:id="243" w:name="_Toc30670"/>
      <w:bookmarkStart w:id="244" w:name="_Toc2929"/>
      <w:bookmarkStart w:id="245" w:name="_Toc21252"/>
      <w:bookmarkStart w:id="246" w:name="_Toc28192"/>
      <w:bookmarkStart w:id="247" w:name="_Toc17835"/>
      <w:r>
        <w:rPr>
          <w:rFonts w:hint="eastAsia" w:ascii="仿宋_GB2312" w:eastAsia="仿宋_GB2312"/>
          <w:b/>
          <w:sz w:val="32"/>
          <w:szCs w:val="32"/>
          <w:highlight w:val="none"/>
        </w:rPr>
        <w:t>三、成交原则</w:t>
      </w:r>
      <w:bookmarkEnd w:id="241"/>
      <w:bookmarkEnd w:id="242"/>
      <w:bookmarkEnd w:id="243"/>
      <w:bookmarkEnd w:id="244"/>
      <w:bookmarkEnd w:id="245"/>
      <w:bookmarkEnd w:id="246"/>
      <w:bookmarkEnd w:id="247"/>
    </w:p>
    <w:p w14:paraId="4D48A0EB">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询价采购人（或其授权的评审小组）按照评审报告中推荐的供应商排名顺序确定排名第一的候选人为成交供应商。排名第一的成交供应商放弃成交或因不可抗力不能履行合同的，询价采购人应当确定排名第二的候选人为成交供应商。排名第二的成交供应商因前述原因不能签订合同的，询价采购人应当确定排名第三的候选人为成交供应商。排名前三名的成交供应商均不能签订合同的，则进行重新询价采购。</w:t>
      </w:r>
    </w:p>
    <w:p w14:paraId="765248BC">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（二）如果经审查或公示期内有异议确定该成交供应商无条件圆满履行合同，询价采购人将对排位其后第一位的成交供应商作出类似的审查和公示。询价采购结果公示于</w:t>
      </w:r>
      <w:r>
        <w:rPr>
          <w:rFonts w:hint="eastAsia" w:ascii="仿宋_GB2312" w:eastAsia="仿宋_GB2312"/>
          <w:sz w:val="32"/>
          <w:szCs w:val="32"/>
          <w:highlight w:val="none"/>
          <w:lang w:eastAsia="zh-CN"/>
        </w:rPr>
        <w:t>福路通资源循环（福建）有限公司</w:t>
      </w:r>
      <w:r>
        <w:rPr>
          <w:rFonts w:hint="eastAsia" w:ascii="仿宋_GB2312" w:eastAsia="仿宋_GB2312"/>
          <w:sz w:val="32"/>
          <w:szCs w:val="32"/>
          <w:highlight w:val="none"/>
        </w:rPr>
        <w:t>公示栏及福建省高速公路集团有限公司网站（www.fjgsgl.com）。</w:t>
      </w:r>
    </w:p>
    <w:p w14:paraId="4DBD4DAE">
      <w:pPr>
        <w:spacing w:line="560" w:lineRule="exact"/>
        <w:ind w:firstLine="640" w:firstLineChars="200"/>
        <w:rPr>
          <w:rFonts w:ascii="仿宋_GB2312" w:eastAsia="仿宋_GB2312"/>
          <w:sz w:val="32"/>
          <w:szCs w:val="32"/>
          <w:highlight w:val="none"/>
        </w:rPr>
      </w:pPr>
      <w:bookmarkStart w:id="248" w:name="_Toc20855"/>
      <w:bookmarkStart w:id="249" w:name="_Toc4547"/>
      <w:r>
        <w:rPr>
          <w:rFonts w:hint="eastAsia" w:ascii="仿宋_GB2312" w:eastAsia="仿宋_GB2312"/>
          <w:sz w:val="32"/>
          <w:szCs w:val="32"/>
          <w:highlight w:val="none"/>
        </w:rPr>
        <w:t>（三）成交通知书</w:t>
      </w:r>
      <w:bookmarkEnd w:id="248"/>
      <w:bookmarkEnd w:id="249"/>
    </w:p>
    <w:p w14:paraId="7259EFF0">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1.询价采购有效期内，询价采购人将以书面形式向成交供应商发出《成交通知书》。《成交通知书》发出后，询价采购人改变成交结果，或者成交供应商放弃成交，应当承担相应的法律责任。</w:t>
      </w:r>
    </w:p>
    <w:p w14:paraId="7F56C152">
      <w:pPr>
        <w:spacing w:line="560" w:lineRule="exact"/>
        <w:ind w:firstLine="640" w:firstLineChars="200"/>
        <w:rPr>
          <w:rFonts w:hint="eastAsia" w:ascii="仿宋_GB2312" w:eastAsia="仿宋_GB2312"/>
          <w:sz w:val="32"/>
          <w:szCs w:val="32"/>
          <w:highlight w:val="none"/>
        </w:rPr>
      </w:pPr>
      <w:bookmarkStart w:id="250" w:name="_Toc17503"/>
      <w:r>
        <w:rPr>
          <w:rFonts w:hint="eastAsia" w:ascii="仿宋_GB2312" w:eastAsia="仿宋_GB2312"/>
          <w:sz w:val="32"/>
          <w:szCs w:val="32"/>
          <w:highlight w:val="none"/>
        </w:rPr>
        <w:t>2.《成交通知书》是签订合同的书面依据。</w:t>
      </w:r>
      <w:bookmarkEnd w:id="250"/>
    </w:p>
    <w:p w14:paraId="6EE71AAB">
      <w:pPr>
        <w:spacing w:line="560" w:lineRule="exact"/>
        <w:ind w:firstLine="643" w:firstLineChars="200"/>
        <w:outlineLvl w:val="0"/>
        <w:rPr>
          <w:rFonts w:ascii="仿宋_GB2312" w:eastAsia="仿宋_GB2312"/>
          <w:b/>
          <w:sz w:val="32"/>
          <w:szCs w:val="32"/>
          <w:highlight w:val="none"/>
        </w:rPr>
      </w:pPr>
      <w:bookmarkStart w:id="251" w:name="_Toc18121"/>
      <w:bookmarkStart w:id="252" w:name="_Toc31501"/>
      <w:bookmarkStart w:id="253" w:name="_Toc1935"/>
      <w:bookmarkStart w:id="254" w:name="_Toc9077"/>
      <w:bookmarkStart w:id="255" w:name="_Toc23495"/>
      <w:bookmarkStart w:id="256" w:name="_Toc21043"/>
      <w:bookmarkStart w:id="257" w:name="_Toc18533"/>
      <w:r>
        <w:rPr>
          <w:rFonts w:hint="eastAsia" w:ascii="仿宋_GB2312" w:eastAsia="仿宋_GB2312"/>
          <w:b/>
          <w:sz w:val="32"/>
          <w:szCs w:val="32"/>
          <w:highlight w:val="none"/>
        </w:rPr>
        <w:t>四、签订合同</w:t>
      </w:r>
      <w:bookmarkEnd w:id="251"/>
      <w:bookmarkEnd w:id="252"/>
      <w:bookmarkEnd w:id="253"/>
      <w:bookmarkEnd w:id="254"/>
      <w:bookmarkEnd w:id="255"/>
      <w:bookmarkEnd w:id="256"/>
      <w:bookmarkEnd w:id="257"/>
    </w:p>
    <w:p w14:paraId="32F704FD">
      <w:pPr>
        <w:spacing w:line="560" w:lineRule="exact"/>
        <w:ind w:firstLine="640" w:firstLineChars="200"/>
        <w:outlineLvl w:val="1"/>
        <w:rPr>
          <w:rFonts w:ascii="仿宋_GB2312" w:eastAsia="仿宋_GB2312"/>
          <w:sz w:val="32"/>
          <w:szCs w:val="32"/>
          <w:highlight w:val="none"/>
        </w:rPr>
      </w:pPr>
      <w:bookmarkStart w:id="258" w:name="_Toc18542"/>
      <w:bookmarkStart w:id="259" w:name="_Toc4366"/>
      <w:r>
        <w:rPr>
          <w:rFonts w:hint="eastAsia" w:ascii="仿宋_GB2312" w:eastAsia="仿宋_GB2312"/>
          <w:sz w:val="32"/>
          <w:szCs w:val="32"/>
          <w:highlight w:val="none"/>
        </w:rPr>
        <w:t>（一）签约</w:t>
      </w:r>
      <w:bookmarkEnd w:id="258"/>
      <w:bookmarkEnd w:id="259"/>
    </w:p>
    <w:p w14:paraId="498722EB">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1.成交供应商按《成交通知书》指定的时间、地点与询价采购人签订合同。成交人未按照上述要求与采购人签订合同的，响应保证金不予退回</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且将该供应商列入不良行为记录名单。</w:t>
      </w:r>
    </w:p>
    <w:p w14:paraId="6053765F">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2.询价采购文件、成交供应商的响应文件及澄清文件等，均为签订询价采购合同的依据，所签订的合同不得对询价采购文件和成交供应商的响应文件作实质性修改。</w:t>
      </w:r>
    </w:p>
    <w:p w14:paraId="7CF1150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3.成交人</w:t>
      </w:r>
      <w:r>
        <w:rPr>
          <w:rFonts w:hint="eastAsia" w:ascii="仿宋_GB2312" w:eastAsia="仿宋_GB2312"/>
          <w:sz w:val="32"/>
          <w:szCs w:val="32"/>
          <w:highlight w:val="none"/>
          <w:lang w:val="en-US" w:eastAsia="zh-CN"/>
        </w:rPr>
        <w:t>响应</w:t>
      </w:r>
      <w:r>
        <w:rPr>
          <w:rFonts w:hint="eastAsia" w:ascii="仿宋_GB2312" w:eastAsia="仿宋_GB2312"/>
          <w:sz w:val="32"/>
          <w:szCs w:val="32"/>
          <w:highlight w:val="none"/>
        </w:rPr>
        <w:t>保证金</w:t>
      </w:r>
      <w:r>
        <w:rPr>
          <w:rFonts w:hint="eastAsia" w:ascii="仿宋_GB2312" w:eastAsia="仿宋_GB2312"/>
          <w:sz w:val="32"/>
          <w:szCs w:val="32"/>
          <w:highlight w:val="none"/>
          <w:lang w:val="en-US" w:eastAsia="zh-CN"/>
        </w:rPr>
        <w:t>叁万</w:t>
      </w:r>
      <w:r>
        <w:rPr>
          <w:rFonts w:hint="eastAsia" w:ascii="仿宋_GB2312" w:eastAsia="仿宋_GB2312"/>
          <w:sz w:val="32"/>
          <w:szCs w:val="32"/>
          <w:highlight w:val="none"/>
        </w:rPr>
        <w:t>元整自动转为履约保证金，合同履行完成后</w:t>
      </w:r>
      <w:r>
        <w:rPr>
          <w:rFonts w:hint="eastAsia" w:ascii="仿宋_GB2312" w:hAnsi="仿宋_GB2312" w:eastAsia="仿宋_GB2312" w:cs="仿宋_GB2312"/>
          <w:sz w:val="32"/>
          <w:szCs w:val="32"/>
          <w:lang w:val="en-US" w:eastAsia="zh-CN"/>
        </w:rPr>
        <w:t>且成交人无违约行为，保证金</w:t>
      </w:r>
      <w:r>
        <w:rPr>
          <w:rFonts w:hint="eastAsia" w:ascii="仿宋_GB2312" w:eastAsia="仿宋_GB2312"/>
          <w:sz w:val="32"/>
          <w:szCs w:val="32"/>
          <w:highlight w:val="none"/>
        </w:rPr>
        <w:t>无息退还。</w:t>
      </w:r>
    </w:p>
    <w:p w14:paraId="47C039FB">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4.合同生效条款由甲乙双方约定，法律、行政法规规定应当办理批准、登记等手续后生效的合同，依照其规定。</w:t>
      </w:r>
    </w:p>
    <w:p w14:paraId="347D3205">
      <w:pPr>
        <w:spacing w:line="560" w:lineRule="exact"/>
        <w:ind w:firstLine="640" w:firstLineChars="200"/>
        <w:rPr>
          <w:rFonts w:ascii="仿宋_GB2312" w:eastAsia="仿宋_GB2312"/>
          <w:sz w:val="32"/>
          <w:szCs w:val="32"/>
          <w:highlight w:val="none"/>
        </w:rPr>
      </w:pPr>
      <w:bookmarkStart w:id="260" w:name="_Toc9737"/>
      <w:r>
        <w:rPr>
          <w:rFonts w:hint="eastAsia" w:ascii="仿宋_GB2312" w:eastAsia="仿宋_GB2312"/>
          <w:sz w:val="32"/>
          <w:szCs w:val="32"/>
          <w:highlight w:val="none"/>
        </w:rPr>
        <w:t>5.</w:t>
      </w:r>
      <w:r>
        <w:rPr>
          <w:rFonts w:hint="eastAsia" w:ascii="仿宋_GB2312" w:hAnsi="仿宋_GB2312" w:eastAsia="仿宋_GB2312" w:cs="仿宋_GB2312"/>
          <w:sz w:val="32"/>
          <w:szCs w:val="32"/>
          <w:lang w:val="en-US" w:eastAsia="zh-CN"/>
        </w:rPr>
        <w:t>采购人有权根据本项目实际情况在合同签订阶段对询价问价中第六篇合同主要条款进行调整，但不得与询价采购文件相关内容产生实质性背离。</w:t>
      </w:r>
      <w:bookmarkEnd w:id="215"/>
      <w:bookmarkEnd w:id="216"/>
      <w:bookmarkEnd w:id="217"/>
      <w:bookmarkEnd w:id="218"/>
      <w:bookmarkEnd w:id="260"/>
      <w:bookmarkStart w:id="261" w:name="_Toc122257621"/>
      <w:bookmarkStart w:id="262" w:name="_Toc122750647"/>
    </w:p>
    <w:p w14:paraId="7D3EF71D">
      <w:pPr>
        <w:spacing w:line="560" w:lineRule="exact"/>
        <w:ind w:firstLine="640" w:firstLineChars="200"/>
        <w:rPr>
          <w:rFonts w:ascii="仿宋_GB2312" w:eastAsia="仿宋_GB2312"/>
          <w:sz w:val="32"/>
          <w:szCs w:val="32"/>
          <w:highlight w:val="none"/>
        </w:rPr>
      </w:pPr>
    </w:p>
    <w:p w14:paraId="09B153F0">
      <w:pPr>
        <w:spacing w:line="560" w:lineRule="exact"/>
        <w:rPr>
          <w:highlight w:val="none"/>
        </w:rPr>
      </w:pPr>
      <w:bookmarkStart w:id="263" w:name="_Toc534883365"/>
      <w:bookmarkStart w:id="264" w:name="_Toc534883407"/>
    </w:p>
    <w:p w14:paraId="2E641607">
      <w:pPr>
        <w:pageBreakBefore/>
        <w:spacing w:line="560" w:lineRule="atLeast"/>
        <w:jc w:val="center"/>
        <w:outlineLvl w:val="0"/>
        <w:rPr>
          <w:rFonts w:hint="eastAsia" w:ascii="黑体" w:hAnsi="黑体" w:eastAsia="黑体" w:cs="黑体"/>
          <w:sz w:val="44"/>
          <w:szCs w:val="44"/>
          <w:highlight w:val="none"/>
        </w:rPr>
      </w:pPr>
      <w:bookmarkStart w:id="265" w:name="_Toc18537"/>
      <w:bookmarkStart w:id="266" w:name="_Toc26828"/>
      <w:bookmarkStart w:id="267" w:name="_Toc10919"/>
      <w:bookmarkStart w:id="268" w:name="_Toc32179"/>
      <w:bookmarkStart w:id="269" w:name="_Toc32007"/>
      <w:bookmarkStart w:id="270" w:name="_Toc19353"/>
      <w:bookmarkStart w:id="271" w:name="_Toc18553"/>
      <w:bookmarkStart w:id="272" w:name="_Toc13390"/>
      <w:bookmarkStart w:id="273" w:name="_Toc3466"/>
      <w:bookmarkStart w:id="274" w:name="_Toc20180"/>
      <w:bookmarkStart w:id="275" w:name="_Toc21200"/>
      <w:bookmarkStart w:id="276" w:name="_Toc17366"/>
      <w:r>
        <w:rPr>
          <w:rFonts w:hint="eastAsia" w:ascii="黑体" w:hAnsi="黑体" w:eastAsia="黑体" w:cs="黑体"/>
          <w:sz w:val="44"/>
          <w:szCs w:val="44"/>
          <w:highlight w:val="none"/>
        </w:rPr>
        <w:t>第六篇  合同主要条款、合同</w:t>
      </w:r>
      <w:bookmarkEnd w:id="261"/>
      <w:r>
        <w:rPr>
          <w:rFonts w:hint="eastAsia" w:ascii="黑体" w:hAnsi="黑体" w:eastAsia="黑体" w:cs="黑体"/>
          <w:sz w:val="44"/>
          <w:szCs w:val="44"/>
          <w:highlight w:val="none"/>
        </w:rPr>
        <w:t>格式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0ADD745">
      <w:pPr>
        <w:spacing w:line="560" w:lineRule="atLeast"/>
        <w:jc w:val="center"/>
        <w:rPr>
          <w:rFonts w:ascii="仿宋_GB2312" w:hAnsi="仿宋_GB2312" w:eastAsia="仿宋_GB2312" w:cs="仿宋_GB2312"/>
          <w:b/>
          <w:sz w:val="32"/>
          <w:szCs w:val="32"/>
          <w:highlight w:val="none"/>
        </w:rPr>
      </w:pPr>
      <w:bookmarkStart w:id="277" w:name="_Toc508286681"/>
    </w:p>
    <w:p w14:paraId="75BB31F3">
      <w:pPr>
        <w:keepNext w:val="0"/>
        <w:keepLines w:val="0"/>
        <w:pageBreakBefore w:val="0"/>
        <w:kinsoku/>
        <w:wordWrap/>
        <w:overflowPunct/>
        <w:topLinePunct w:val="0"/>
        <w:autoSpaceDE/>
        <w:autoSpaceDN/>
        <w:bidi w:val="0"/>
        <w:adjustRightInd/>
        <w:spacing w:line="560" w:lineRule="exact"/>
        <w:jc w:val="center"/>
        <w:outlineLvl w:val="0"/>
        <w:rPr>
          <w:rFonts w:hint="eastAsia" w:ascii="仿宋_GB2312" w:hAnsi="仿宋_GB2312" w:eastAsia="仿宋_GB2312" w:cs="仿宋_GB2312"/>
          <w:b/>
          <w:sz w:val="44"/>
          <w:szCs w:val="44"/>
          <w:highlight w:val="none"/>
          <w:lang w:eastAsia="zh-CN"/>
        </w:rPr>
      </w:pPr>
      <w:bookmarkStart w:id="278" w:name="_Toc27803"/>
      <w:bookmarkStart w:id="279" w:name="_Toc7977"/>
      <w:bookmarkStart w:id="280" w:name="_Toc27722"/>
      <w:bookmarkStart w:id="281" w:name="_Toc12202"/>
      <w:bookmarkStart w:id="282" w:name="_Toc15058"/>
      <w:bookmarkStart w:id="283" w:name="_Toc32687"/>
      <w:r>
        <w:rPr>
          <w:rFonts w:hint="eastAsia" w:ascii="仿宋_GB2312" w:hAnsi="仿宋_GB2312" w:eastAsia="仿宋_GB2312" w:cs="仿宋_GB2312"/>
          <w:b/>
          <w:sz w:val="44"/>
          <w:szCs w:val="44"/>
          <w:highlight w:val="none"/>
          <w:lang w:eastAsia="zh-CN"/>
        </w:rPr>
        <w:t>2025-2026年度物流运输服务</w:t>
      </w:r>
    </w:p>
    <w:p w14:paraId="38284BE8">
      <w:pPr>
        <w:keepNext w:val="0"/>
        <w:keepLines w:val="0"/>
        <w:pageBreakBefore w:val="0"/>
        <w:kinsoku/>
        <w:wordWrap/>
        <w:overflowPunct/>
        <w:topLinePunct w:val="0"/>
        <w:autoSpaceDE/>
        <w:autoSpaceDN/>
        <w:bidi w:val="0"/>
        <w:adjustRightInd/>
        <w:spacing w:line="560" w:lineRule="exact"/>
        <w:jc w:val="center"/>
        <w:outlineLvl w:val="0"/>
        <w:rPr>
          <w:rFonts w:ascii="仿宋_GB2312" w:hAnsi="仿宋_GB2312" w:eastAsia="仿宋_GB2312" w:cs="仿宋_GB2312"/>
          <w:b/>
          <w:sz w:val="44"/>
          <w:szCs w:val="44"/>
          <w:highlight w:val="none"/>
        </w:rPr>
      </w:pPr>
      <w:bookmarkStart w:id="284" w:name="_Toc5671"/>
      <w:r>
        <w:rPr>
          <w:rFonts w:hint="eastAsia" w:ascii="仿宋_GB2312" w:hAnsi="仿宋_GB2312" w:eastAsia="仿宋_GB2312" w:cs="仿宋_GB2312"/>
          <w:b/>
          <w:sz w:val="44"/>
          <w:szCs w:val="44"/>
          <w:highlight w:val="none"/>
          <w:lang w:eastAsia="zh-CN"/>
        </w:rPr>
        <w:t>采购</w:t>
      </w:r>
      <w:r>
        <w:rPr>
          <w:rFonts w:hint="eastAsia" w:ascii="仿宋_GB2312" w:hAnsi="仿宋_GB2312" w:eastAsia="仿宋_GB2312" w:cs="仿宋_GB2312"/>
          <w:b/>
          <w:sz w:val="44"/>
          <w:szCs w:val="44"/>
          <w:highlight w:val="none"/>
        </w:rPr>
        <w:t>合同</w:t>
      </w:r>
      <w:bookmarkEnd w:id="278"/>
      <w:bookmarkEnd w:id="279"/>
      <w:bookmarkEnd w:id="280"/>
      <w:bookmarkEnd w:id="281"/>
      <w:bookmarkEnd w:id="282"/>
      <w:bookmarkEnd w:id="283"/>
      <w:bookmarkEnd w:id="284"/>
    </w:p>
    <w:p w14:paraId="189E857A">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AB25F4E">
      <w:pPr>
        <w:keepNext w:val="0"/>
        <w:keepLines w:val="0"/>
        <w:pageBreakBefore w:val="0"/>
        <w:kinsoku/>
        <w:wordWrap/>
        <w:overflowPunct/>
        <w:topLinePunct w:val="0"/>
        <w:autoSpaceDE/>
        <w:autoSpaceDN/>
        <w:bidi w:val="0"/>
        <w:adjustRightInd/>
        <w:spacing w:line="56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合同编号：        </w:t>
      </w:r>
    </w:p>
    <w:p w14:paraId="771A36EC">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p>
    <w:p w14:paraId="0AEFA960">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eastAsia="zh-CN"/>
        </w:rPr>
        <w:t>福路通资源循环（福建）有限公司</w:t>
      </w:r>
    </w:p>
    <w:p w14:paraId="37C6DA3E">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地址：</w:t>
      </w:r>
    </w:p>
    <w:p w14:paraId="579A6E07">
      <w:pPr>
        <w:keepNext w:val="0"/>
        <w:keepLines w:val="0"/>
        <w:pageBreakBefore w:val="0"/>
        <w:kinsoku/>
        <w:wordWrap/>
        <w:overflowPunct/>
        <w:topLinePunct w:val="0"/>
        <w:autoSpaceDE/>
        <w:autoSpaceDN/>
        <w:bidi w:val="0"/>
        <w:adjustRightInd/>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联系电话：</w:t>
      </w:r>
      <w:r>
        <w:rPr>
          <w:rFonts w:ascii="仿宋_GB2312" w:hAnsi="仿宋_GB2312" w:eastAsia="仿宋_GB2312" w:cs="仿宋_GB2312"/>
          <w:sz w:val="32"/>
          <w:szCs w:val="32"/>
          <w:highlight w:val="none"/>
        </w:rPr>
        <w:t xml:space="preserve">        </w:t>
      </w:r>
    </w:p>
    <w:p w14:paraId="75CE3FF0">
      <w:pPr>
        <w:keepNext w:val="0"/>
        <w:keepLines w:val="0"/>
        <w:pageBreakBefore w:val="0"/>
        <w:kinsoku/>
        <w:wordWrap/>
        <w:overflowPunct/>
        <w:topLinePunct w:val="0"/>
        <w:autoSpaceDE/>
        <w:autoSpaceDN/>
        <w:bidi w:val="0"/>
        <w:adjustRightInd/>
        <w:spacing w:line="560" w:lineRule="exact"/>
        <w:rPr>
          <w:rFonts w:ascii="仿宋_GB2312" w:hAnsi="仿宋_GB2312" w:eastAsia="仿宋_GB2312" w:cs="仿宋_GB2312"/>
          <w:sz w:val="32"/>
          <w:szCs w:val="32"/>
          <w:highlight w:val="none"/>
        </w:rPr>
      </w:pPr>
    </w:p>
    <w:p w14:paraId="5A7BF734">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            </w:t>
      </w:r>
    </w:p>
    <w:p w14:paraId="01594A71">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地址：</w:t>
      </w:r>
    </w:p>
    <w:p w14:paraId="1CDB12A7">
      <w:pPr>
        <w:keepNext w:val="0"/>
        <w:keepLines w:val="0"/>
        <w:pageBreakBefore w:val="0"/>
        <w:kinsoku/>
        <w:wordWrap/>
        <w:overflowPunct/>
        <w:topLinePunct w:val="0"/>
        <w:autoSpaceDE/>
        <w:autoSpaceDN/>
        <w:bidi w:val="0"/>
        <w:adjustRightInd/>
        <w:spacing w:line="560" w:lineRule="exac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w:t>
      </w:r>
    </w:p>
    <w:p w14:paraId="3D538A96">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（发包人名称，以下简称“甲方”）为</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lang w:eastAsia="zh-CN"/>
        </w:rPr>
        <w:t>2025-2026年度物流运输服务</w:t>
      </w:r>
      <w:r>
        <w:rPr>
          <w:rFonts w:hint="eastAsia" w:ascii="仿宋_GB2312" w:hAnsi="仿宋_GB2312" w:eastAsia="仿宋_GB2312" w:cs="仿宋_GB2312"/>
          <w:sz w:val="32"/>
          <w:szCs w:val="32"/>
          <w:highlight w:val="none"/>
        </w:rPr>
        <w:t>，已接受（承包人名称，以下简称“乙方”）对该项目的响应文件。甲乙双方本着平等互利、自愿合作的原则，经友好协商，根据《</w:t>
      </w:r>
      <w:r>
        <w:rPr>
          <w:rFonts w:hint="eastAsia" w:ascii="仿宋_GB2312" w:hAnsi="仿宋_GB2312" w:eastAsia="仿宋_GB2312" w:cs="仿宋_GB2312"/>
          <w:sz w:val="32"/>
          <w:szCs w:val="32"/>
          <w:highlight w:val="none"/>
          <w:lang w:val="en-US" w:eastAsia="zh-CN"/>
        </w:rPr>
        <w:t>民法典</w:t>
      </w:r>
      <w:r>
        <w:rPr>
          <w:rFonts w:hint="eastAsia" w:ascii="仿宋_GB2312" w:hAnsi="仿宋_GB2312" w:eastAsia="仿宋_GB2312" w:cs="仿宋_GB2312"/>
          <w:sz w:val="32"/>
          <w:szCs w:val="32"/>
          <w:highlight w:val="none"/>
        </w:rPr>
        <w:t>》及相关法律法规的规定，达成如下协议，以资共同遵守。</w:t>
      </w:r>
    </w:p>
    <w:p w14:paraId="54E7720D">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一、根据甲方委托，乙方提供</w:t>
      </w:r>
      <w:r>
        <w:rPr>
          <w:rFonts w:hint="eastAsia" w:ascii="仿宋_GB2312" w:hAnsi="仿宋_GB2312" w:eastAsia="仿宋_GB2312" w:cs="仿宋_GB2312"/>
          <w:b/>
          <w:bCs/>
          <w:sz w:val="32"/>
          <w:szCs w:val="32"/>
          <w:highlight w:val="none"/>
          <w:lang w:eastAsia="zh-CN"/>
        </w:rPr>
        <w:t>2025-2026年度物流运输服务</w:t>
      </w:r>
      <w:r>
        <w:rPr>
          <w:rFonts w:hint="eastAsia" w:ascii="仿宋_GB2312" w:hAnsi="仿宋_GB2312" w:eastAsia="仿宋_GB2312" w:cs="仿宋_GB2312"/>
          <w:b/>
          <w:bCs/>
          <w:sz w:val="32"/>
          <w:szCs w:val="32"/>
          <w:highlight w:val="none"/>
        </w:rPr>
        <w:t>。</w:t>
      </w:r>
    </w:p>
    <w:p w14:paraId="554FDD9D">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rPr>
      </w:pPr>
      <w:bookmarkStart w:id="285" w:name="_Toc11763"/>
      <w:r>
        <w:rPr>
          <w:rFonts w:hint="eastAsia" w:ascii="仿宋_GB2312" w:hAnsi="仿宋_GB2312" w:eastAsia="仿宋_GB2312" w:cs="仿宋_GB2312"/>
          <w:b/>
          <w:bCs/>
          <w:sz w:val="32"/>
          <w:szCs w:val="32"/>
          <w:highlight w:val="none"/>
        </w:rPr>
        <w:t>二、下列文件应视为构成合同文件的组成部分：</w:t>
      </w:r>
      <w:bookmarkEnd w:id="285"/>
    </w:p>
    <w:p w14:paraId="7D3BEC90">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（1）本协议书及各种合同附件（含评标期间和合同谈判过程中的澄清文件和补充资料）；</w:t>
      </w:r>
    </w:p>
    <w:p w14:paraId="2FF1C217">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（2）中选通知书；</w:t>
      </w:r>
    </w:p>
    <w:p w14:paraId="1BCFB68A">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（3）投标函（文件）及投标函（文件）附录；</w:t>
      </w:r>
    </w:p>
    <w:p w14:paraId="709973ED">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（4）承包人有关人员、设备投入的承诺；</w:t>
      </w:r>
    </w:p>
    <w:p w14:paraId="19BE1907">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（5）其他合同文件。上述合同文件互相补充和解释。如果合同文件之间存在矛盾或不一致之处，以上述文件的排列顺序在先者为准。</w:t>
      </w:r>
    </w:p>
    <w:p w14:paraId="60C77EF9">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中华人民共和国民法典</w:t>
      </w:r>
      <w:r>
        <w:rPr>
          <w:rFonts w:hint="eastAsia" w:ascii="仿宋_GB2312" w:hAnsi="仿宋_GB2312" w:eastAsia="仿宋_GB2312" w:cs="仿宋_GB2312"/>
          <w:sz w:val="32"/>
          <w:szCs w:val="32"/>
          <w:highlight w:val="none"/>
        </w:rPr>
        <w:t>》的有关规定，经甲乙双方协商，甲方同意由乙方</w:t>
      </w:r>
      <w:r>
        <w:rPr>
          <w:rFonts w:hint="eastAsia" w:ascii="仿宋_GB2312" w:hAnsi="仿宋_GB2312" w:eastAsia="仿宋_GB2312" w:cs="仿宋_GB2312"/>
          <w:sz w:val="32"/>
          <w:szCs w:val="32"/>
          <w:highlight w:val="none"/>
          <w:lang w:eastAsia="zh-CN"/>
        </w:rPr>
        <w:t>提供2025-2026年度物流运输服务</w:t>
      </w:r>
      <w:r>
        <w:rPr>
          <w:rFonts w:hint="eastAsia" w:ascii="仿宋_GB2312" w:hAnsi="仿宋_GB2312" w:eastAsia="仿宋_GB2312" w:cs="仿宋_GB2312"/>
          <w:sz w:val="32"/>
          <w:szCs w:val="32"/>
          <w:highlight w:val="none"/>
        </w:rPr>
        <w:t>，为明确双方权利与义务，特签订如下条款，供双方共同遵守。</w:t>
      </w:r>
    </w:p>
    <w:p w14:paraId="40F10F84">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lang w:val="en-US" w:eastAsia="zh-CN"/>
        </w:rPr>
      </w:pPr>
      <w:bookmarkStart w:id="286" w:name="_Toc12091"/>
      <w:bookmarkStart w:id="287" w:name="_Toc16793"/>
      <w:bookmarkStart w:id="288" w:name="_Toc1910"/>
      <w:bookmarkStart w:id="289" w:name="_Toc18232"/>
      <w:bookmarkStart w:id="290" w:name="_Toc11720"/>
      <w:bookmarkStart w:id="291" w:name="_Toc14213"/>
      <w:bookmarkStart w:id="292" w:name="_Toc25783"/>
      <w:r>
        <w:rPr>
          <w:rFonts w:hint="eastAsia" w:ascii="仿宋_GB2312" w:hAnsi="仿宋_GB2312" w:eastAsia="仿宋_GB2312" w:cs="仿宋_GB2312"/>
          <w:b/>
          <w:bCs/>
          <w:sz w:val="32"/>
          <w:szCs w:val="32"/>
          <w:highlight w:val="none"/>
        </w:rPr>
        <w:t>三、</w:t>
      </w:r>
      <w:bookmarkEnd w:id="286"/>
      <w:r>
        <w:rPr>
          <w:rFonts w:hint="eastAsia" w:ascii="仿宋_GB2312" w:hAnsi="仿宋_GB2312" w:eastAsia="仿宋_GB2312" w:cs="仿宋_GB2312"/>
          <w:b/>
          <w:bCs/>
          <w:sz w:val="32"/>
          <w:szCs w:val="32"/>
          <w:highlight w:val="none"/>
          <w:lang w:val="en-US" w:eastAsia="zh-CN"/>
        </w:rPr>
        <w:t>托运价格</w:t>
      </w:r>
    </w:p>
    <w:p w14:paraId="308404B2">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）托运货物的运费暂定合同价如下表</w:t>
      </w:r>
    </w:p>
    <w:tbl>
      <w:tblPr>
        <w:tblStyle w:val="31"/>
        <w:tblW w:w="9071" w:type="dxa"/>
        <w:jc w:val="center"/>
        <w:tblLayout w:type="fixed"/>
        <w:tblCellMar>
          <w:top w:w="0" w:type="dxa"/>
          <w:left w:w="108" w:type="dxa"/>
          <w:bottom w:w="0" w:type="dxa"/>
          <w:right w:w="108" w:type="dxa"/>
        </w:tblCellMar>
      </w:tblPr>
      <w:tblGrid>
        <w:gridCol w:w="934"/>
        <w:gridCol w:w="1136"/>
        <w:gridCol w:w="2264"/>
        <w:gridCol w:w="1579"/>
        <w:gridCol w:w="1579"/>
        <w:gridCol w:w="1579"/>
      </w:tblGrid>
      <w:tr w14:paraId="68BDE672">
        <w:tblPrEx>
          <w:tblCellMar>
            <w:top w:w="0" w:type="dxa"/>
            <w:left w:w="108" w:type="dxa"/>
            <w:bottom w:w="0" w:type="dxa"/>
            <w:right w:w="108" w:type="dxa"/>
          </w:tblCellMar>
        </w:tblPrEx>
        <w:trPr>
          <w:trHeight w:val="755" w:hRule="atLeast"/>
          <w:jc w:val="center"/>
        </w:trPr>
        <w:tc>
          <w:tcPr>
            <w:tcW w:w="9071" w:type="dxa"/>
            <w:gridSpan w:val="6"/>
            <w:tcBorders>
              <w:top w:val="nil"/>
              <w:left w:val="nil"/>
              <w:bottom w:val="single" w:color="auto" w:sz="4" w:space="0"/>
              <w:right w:val="nil"/>
            </w:tcBorders>
            <w:noWrap/>
            <w:vAlign w:val="center"/>
          </w:tcPr>
          <w:p w14:paraId="47E4D53D">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eastAsia="zh-CN"/>
              </w:rPr>
              <w:t>202</w:t>
            </w:r>
            <w:r>
              <w:rPr>
                <w:rFonts w:hint="eastAsia" w:ascii="仿宋_GB2312" w:hAnsi="仿宋_GB2312" w:eastAsia="仿宋_GB2312" w:cs="仿宋_GB2312"/>
                <w:b/>
                <w:bCs/>
                <w:color w:val="000000"/>
                <w:kern w:val="0"/>
                <w:sz w:val="32"/>
                <w:szCs w:val="32"/>
                <w:lang w:val="en-US" w:eastAsia="zh-CN"/>
              </w:rPr>
              <w:t>5</w:t>
            </w:r>
            <w:r>
              <w:rPr>
                <w:rFonts w:hint="eastAsia" w:ascii="仿宋_GB2312" w:hAnsi="仿宋_GB2312" w:eastAsia="仿宋_GB2312" w:cs="仿宋_GB2312"/>
                <w:b/>
                <w:bCs/>
                <w:color w:val="000000"/>
                <w:kern w:val="0"/>
                <w:sz w:val="32"/>
                <w:szCs w:val="32"/>
                <w:lang w:eastAsia="zh-CN"/>
              </w:rPr>
              <w:t>年</w:t>
            </w:r>
            <w:r>
              <w:rPr>
                <w:rFonts w:hint="eastAsia" w:ascii="仿宋_GB2312" w:hAnsi="仿宋_GB2312" w:eastAsia="仿宋_GB2312" w:cs="仿宋_GB2312"/>
                <w:b/>
                <w:bCs/>
                <w:color w:val="000000"/>
                <w:kern w:val="0"/>
                <w:sz w:val="32"/>
                <w:szCs w:val="32"/>
                <w:lang w:val="en-US" w:eastAsia="zh-CN"/>
              </w:rPr>
              <w:t>物流运输服务价格</w:t>
            </w:r>
            <w:r>
              <w:rPr>
                <w:rFonts w:hint="eastAsia" w:ascii="仿宋_GB2312" w:hAnsi="仿宋_GB2312" w:eastAsia="仿宋_GB2312" w:cs="仿宋_GB2312"/>
                <w:b/>
                <w:bCs/>
                <w:color w:val="000000"/>
                <w:kern w:val="0"/>
                <w:sz w:val="32"/>
                <w:szCs w:val="32"/>
              </w:rPr>
              <w:t>明细</w:t>
            </w:r>
            <w:r>
              <w:rPr>
                <w:rFonts w:hint="eastAsia" w:ascii="仿宋_GB2312" w:hAnsi="仿宋_GB2312" w:eastAsia="仿宋_GB2312" w:cs="仿宋_GB2312"/>
                <w:b/>
                <w:bCs/>
                <w:color w:val="000000"/>
                <w:kern w:val="0"/>
                <w:sz w:val="32"/>
                <w:szCs w:val="32"/>
                <w:lang w:val="en-US" w:eastAsia="zh-CN"/>
              </w:rPr>
              <w:t>表</w:t>
            </w:r>
          </w:p>
        </w:tc>
      </w:tr>
      <w:tr w14:paraId="1C598A57">
        <w:tblPrEx>
          <w:tblCellMar>
            <w:top w:w="0" w:type="dxa"/>
            <w:left w:w="108" w:type="dxa"/>
            <w:bottom w:w="0" w:type="dxa"/>
            <w:right w:w="108" w:type="dxa"/>
          </w:tblCellMar>
        </w:tblPrEx>
        <w:trPr>
          <w:trHeight w:val="480" w:hRule="atLeast"/>
          <w:jc w:val="center"/>
        </w:trPr>
        <w:tc>
          <w:tcPr>
            <w:tcW w:w="934" w:type="dxa"/>
            <w:tcBorders>
              <w:top w:val="nil"/>
              <w:left w:val="single" w:color="auto" w:sz="4" w:space="0"/>
              <w:bottom w:val="single" w:color="auto" w:sz="4" w:space="0"/>
              <w:right w:val="single" w:color="auto" w:sz="4" w:space="0"/>
            </w:tcBorders>
            <w:noWrap w:val="0"/>
            <w:vAlign w:val="center"/>
          </w:tcPr>
          <w:p w14:paraId="3F16B0D4">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序号</w:t>
            </w:r>
          </w:p>
        </w:tc>
        <w:tc>
          <w:tcPr>
            <w:tcW w:w="1136" w:type="dxa"/>
            <w:tcBorders>
              <w:top w:val="nil"/>
              <w:left w:val="nil"/>
              <w:bottom w:val="single" w:color="auto" w:sz="4" w:space="0"/>
              <w:right w:val="single" w:color="auto" w:sz="4" w:space="0"/>
            </w:tcBorders>
            <w:noWrap w:val="0"/>
            <w:vAlign w:val="center"/>
          </w:tcPr>
          <w:p w14:paraId="19E5DEC8">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项目</w:t>
            </w:r>
          </w:p>
        </w:tc>
        <w:tc>
          <w:tcPr>
            <w:tcW w:w="2264" w:type="dxa"/>
            <w:tcBorders>
              <w:top w:val="nil"/>
              <w:left w:val="nil"/>
              <w:bottom w:val="single" w:color="auto" w:sz="4" w:space="0"/>
              <w:right w:val="single" w:color="auto" w:sz="4" w:space="0"/>
            </w:tcBorders>
            <w:noWrap w:val="0"/>
            <w:vAlign w:val="center"/>
          </w:tcPr>
          <w:p w14:paraId="4B31E5FB">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运距</w:t>
            </w:r>
          </w:p>
        </w:tc>
        <w:tc>
          <w:tcPr>
            <w:tcW w:w="1579" w:type="dxa"/>
            <w:tcBorders>
              <w:top w:val="nil"/>
              <w:left w:val="nil"/>
              <w:bottom w:val="single" w:color="auto" w:sz="4" w:space="0"/>
              <w:right w:val="single" w:color="auto" w:sz="4" w:space="0"/>
            </w:tcBorders>
            <w:noWrap w:val="0"/>
            <w:vAlign w:val="center"/>
          </w:tcPr>
          <w:p w14:paraId="3E21B956">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单价</w:t>
            </w:r>
          </w:p>
          <w:p w14:paraId="3E211C8D">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（元/吨）</w:t>
            </w:r>
          </w:p>
        </w:tc>
        <w:tc>
          <w:tcPr>
            <w:tcW w:w="1579" w:type="dxa"/>
            <w:tcBorders>
              <w:top w:val="nil"/>
              <w:left w:val="nil"/>
              <w:bottom w:val="single" w:color="auto" w:sz="4" w:space="0"/>
              <w:right w:val="single" w:color="auto" w:sz="4" w:space="0"/>
            </w:tcBorders>
            <w:noWrap w:val="0"/>
            <w:vAlign w:val="center"/>
          </w:tcPr>
          <w:p w14:paraId="1618EA3F">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暂估数量</w:t>
            </w:r>
          </w:p>
          <w:p w14:paraId="7D193A14">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（吨）</w:t>
            </w:r>
          </w:p>
        </w:tc>
        <w:tc>
          <w:tcPr>
            <w:tcW w:w="1579" w:type="dxa"/>
            <w:tcBorders>
              <w:top w:val="nil"/>
              <w:left w:val="nil"/>
              <w:bottom w:val="single" w:color="auto" w:sz="4" w:space="0"/>
              <w:right w:val="single" w:color="auto" w:sz="4" w:space="0"/>
            </w:tcBorders>
            <w:noWrap w:val="0"/>
            <w:vAlign w:val="center"/>
          </w:tcPr>
          <w:p w14:paraId="15DC14AF">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总价</w:t>
            </w:r>
          </w:p>
          <w:p w14:paraId="515D47DD">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（元）</w:t>
            </w:r>
          </w:p>
        </w:tc>
      </w:tr>
      <w:tr w14:paraId="441982DE">
        <w:tblPrEx>
          <w:tblCellMar>
            <w:top w:w="0" w:type="dxa"/>
            <w:left w:w="108" w:type="dxa"/>
            <w:bottom w:w="0" w:type="dxa"/>
            <w:right w:w="108" w:type="dxa"/>
          </w:tblCellMar>
        </w:tblPrEx>
        <w:trPr>
          <w:trHeight w:val="283" w:hRule="atLeast"/>
          <w:jc w:val="center"/>
        </w:trPr>
        <w:tc>
          <w:tcPr>
            <w:tcW w:w="934" w:type="dxa"/>
            <w:tcBorders>
              <w:top w:val="nil"/>
              <w:left w:val="single" w:color="auto" w:sz="4" w:space="0"/>
              <w:bottom w:val="single" w:color="auto" w:sz="4" w:space="0"/>
              <w:right w:val="single" w:color="auto" w:sz="4" w:space="0"/>
            </w:tcBorders>
            <w:noWrap w:val="0"/>
            <w:vAlign w:val="center"/>
          </w:tcPr>
          <w:p w14:paraId="3EEE94C3">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1136" w:type="dxa"/>
            <w:vMerge w:val="restart"/>
            <w:tcBorders>
              <w:top w:val="nil"/>
              <w:left w:val="nil"/>
              <w:right w:val="single" w:color="auto" w:sz="4" w:space="0"/>
            </w:tcBorders>
            <w:noWrap w:val="0"/>
            <w:vAlign w:val="center"/>
          </w:tcPr>
          <w:p w14:paraId="0ECA5CD9">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物流</w:t>
            </w:r>
          </w:p>
          <w:p w14:paraId="70A786A5">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运输</w:t>
            </w:r>
          </w:p>
          <w:p w14:paraId="6B91B87F">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服务</w:t>
            </w:r>
          </w:p>
        </w:tc>
        <w:tc>
          <w:tcPr>
            <w:tcW w:w="2264" w:type="dxa"/>
            <w:tcBorders>
              <w:top w:val="nil"/>
              <w:left w:val="nil"/>
              <w:bottom w:val="single" w:color="auto" w:sz="4" w:space="0"/>
              <w:right w:val="single" w:color="auto" w:sz="4" w:space="0"/>
            </w:tcBorders>
            <w:noWrap w:val="0"/>
            <w:vAlign w:val="center"/>
          </w:tcPr>
          <w:p w14:paraId="341FBC01">
            <w:pPr>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≤50km</w:t>
            </w:r>
          </w:p>
        </w:tc>
        <w:tc>
          <w:tcPr>
            <w:tcW w:w="1579" w:type="dxa"/>
            <w:tcBorders>
              <w:top w:val="nil"/>
              <w:left w:val="nil"/>
              <w:bottom w:val="single" w:color="auto" w:sz="4" w:space="0"/>
              <w:right w:val="single" w:color="auto" w:sz="4" w:space="0"/>
            </w:tcBorders>
            <w:noWrap w:val="0"/>
            <w:vAlign w:val="center"/>
          </w:tcPr>
          <w:p w14:paraId="6A5A19C1">
            <w:pPr>
              <w:jc w:val="center"/>
              <w:rPr>
                <w:rFonts w:hint="eastAsia" w:ascii="仿宋_GB2312" w:hAnsi="仿宋_GB2312" w:eastAsia="仿宋_GB2312" w:cs="仿宋_GB2312"/>
                <w:color w:val="000000"/>
                <w:kern w:val="0"/>
                <w:sz w:val="32"/>
                <w:szCs w:val="32"/>
                <w:lang w:val="en-US" w:eastAsia="zh-CN"/>
              </w:rPr>
            </w:pPr>
          </w:p>
        </w:tc>
        <w:tc>
          <w:tcPr>
            <w:tcW w:w="1579" w:type="dxa"/>
            <w:tcBorders>
              <w:top w:val="nil"/>
              <w:left w:val="nil"/>
              <w:bottom w:val="single" w:color="auto" w:sz="4" w:space="0"/>
              <w:right w:val="single" w:color="auto" w:sz="4" w:space="0"/>
            </w:tcBorders>
            <w:shd w:val="clear" w:color="auto" w:fill="auto"/>
            <w:noWrap w:val="0"/>
            <w:vAlign w:val="center"/>
          </w:tcPr>
          <w:p w14:paraId="0DE7432C">
            <w:pPr>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500</w:t>
            </w:r>
          </w:p>
        </w:tc>
        <w:tc>
          <w:tcPr>
            <w:tcW w:w="1579" w:type="dxa"/>
            <w:tcBorders>
              <w:top w:val="nil"/>
              <w:left w:val="nil"/>
              <w:bottom w:val="single" w:color="auto" w:sz="4" w:space="0"/>
              <w:right w:val="single" w:color="auto" w:sz="4" w:space="0"/>
            </w:tcBorders>
            <w:noWrap w:val="0"/>
            <w:vAlign w:val="center"/>
          </w:tcPr>
          <w:p w14:paraId="3C871131">
            <w:pPr>
              <w:jc w:val="center"/>
              <w:rPr>
                <w:rFonts w:hint="eastAsia" w:ascii="仿宋_GB2312" w:hAnsi="仿宋_GB2312" w:eastAsia="仿宋_GB2312" w:cs="仿宋_GB2312"/>
                <w:color w:val="000000"/>
                <w:kern w:val="0"/>
                <w:sz w:val="32"/>
                <w:szCs w:val="32"/>
                <w:lang w:val="en-US" w:eastAsia="zh-CN"/>
              </w:rPr>
            </w:pPr>
          </w:p>
        </w:tc>
      </w:tr>
      <w:tr w14:paraId="77413F8D">
        <w:tblPrEx>
          <w:tblCellMar>
            <w:top w:w="0" w:type="dxa"/>
            <w:left w:w="108" w:type="dxa"/>
            <w:bottom w:w="0" w:type="dxa"/>
            <w:right w:w="108" w:type="dxa"/>
          </w:tblCellMar>
        </w:tblPrEx>
        <w:trPr>
          <w:trHeight w:val="283" w:hRule="atLeast"/>
          <w:jc w:val="center"/>
        </w:trPr>
        <w:tc>
          <w:tcPr>
            <w:tcW w:w="934" w:type="dxa"/>
            <w:tcBorders>
              <w:top w:val="nil"/>
              <w:left w:val="single" w:color="auto" w:sz="4" w:space="0"/>
              <w:bottom w:val="single" w:color="auto" w:sz="4" w:space="0"/>
              <w:right w:val="single" w:color="auto" w:sz="4" w:space="0"/>
            </w:tcBorders>
            <w:noWrap w:val="0"/>
            <w:vAlign w:val="center"/>
          </w:tcPr>
          <w:p w14:paraId="790FCB62">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w:t>
            </w:r>
          </w:p>
        </w:tc>
        <w:tc>
          <w:tcPr>
            <w:tcW w:w="1136" w:type="dxa"/>
            <w:vMerge w:val="continue"/>
            <w:tcBorders>
              <w:left w:val="nil"/>
              <w:right w:val="single" w:color="auto" w:sz="4" w:space="0"/>
            </w:tcBorders>
            <w:noWrap w:val="0"/>
            <w:vAlign w:val="center"/>
          </w:tcPr>
          <w:p w14:paraId="6D1078C6">
            <w:pPr>
              <w:widowControl/>
              <w:jc w:val="center"/>
              <w:rPr>
                <w:rFonts w:hint="eastAsia" w:ascii="仿宋_GB2312" w:hAnsi="仿宋_GB2312" w:eastAsia="仿宋_GB2312" w:cs="仿宋_GB2312"/>
                <w:color w:val="000000"/>
                <w:kern w:val="0"/>
                <w:sz w:val="32"/>
                <w:szCs w:val="32"/>
              </w:rPr>
            </w:pPr>
          </w:p>
        </w:tc>
        <w:tc>
          <w:tcPr>
            <w:tcW w:w="2264" w:type="dxa"/>
            <w:tcBorders>
              <w:top w:val="nil"/>
              <w:left w:val="nil"/>
              <w:bottom w:val="single" w:color="auto" w:sz="4" w:space="0"/>
              <w:right w:val="single" w:color="auto" w:sz="4" w:space="0"/>
            </w:tcBorders>
            <w:noWrap w:val="0"/>
            <w:vAlign w:val="center"/>
          </w:tcPr>
          <w:p w14:paraId="242FAB0E">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50km～100km</w:t>
            </w:r>
          </w:p>
        </w:tc>
        <w:tc>
          <w:tcPr>
            <w:tcW w:w="1579" w:type="dxa"/>
            <w:tcBorders>
              <w:top w:val="nil"/>
              <w:left w:val="nil"/>
              <w:bottom w:val="single" w:color="auto" w:sz="4" w:space="0"/>
              <w:right w:val="single" w:color="auto" w:sz="4" w:space="0"/>
            </w:tcBorders>
            <w:noWrap w:val="0"/>
            <w:vAlign w:val="center"/>
          </w:tcPr>
          <w:p w14:paraId="2BC422D9">
            <w:pPr>
              <w:widowControl/>
              <w:jc w:val="center"/>
              <w:rPr>
                <w:rFonts w:hint="eastAsia" w:ascii="仿宋_GB2312" w:hAnsi="仿宋_GB2312" w:eastAsia="仿宋_GB2312" w:cs="仿宋_GB2312"/>
                <w:color w:val="000000"/>
                <w:kern w:val="0"/>
                <w:sz w:val="32"/>
                <w:szCs w:val="32"/>
                <w:lang w:val="en-US" w:eastAsia="zh-CN"/>
              </w:rPr>
            </w:pPr>
          </w:p>
        </w:tc>
        <w:tc>
          <w:tcPr>
            <w:tcW w:w="1579" w:type="dxa"/>
            <w:tcBorders>
              <w:top w:val="nil"/>
              <w:left w:val="nil"/>
              <w:bottom w:val="single" w:color="auto" w:sz="4" w:space="0"/>
              <w:right w:val="single" w:color="auto" w:sz="4" w:space="0"/>
            </w:tcBorders>
            <w:shd w:val="clear" w:color="auto" w:fill="auto"/>
            <w:noWrap w:val="0"/>
            <w:vAlign w:val="center"/>
          </w:tcPr>
          <w:p w14:paraId="233C7144">
            <w:pPr>
              <w:widowControl/>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1000</w:t>
            </w:r>
          </w:p>
        </w:tc>
        <w:tc>
          <w:tcPr>
            <w:tcW w:w="1579" w:type="dxa"/>
            <w:tcBorders>
              <w:top w:val="nil"/>
              <w:left w:val="nil"/>
              <w:bottom w:val="single" w:color="auto" w:sz="4" w:space="0"/>
              <w:right w:val="single" w:color="auto" w:sz="4" w:space="0"/>
            </w:tcBorders>
            <w:noWrap w:val="0"/>
            <w:vAlign w:val="center"/>
          </w:tcPr>
          <w:p w14:paraId="7332D63B">
            <w:pPr>
              <w:widowControl/>
              <w:jc w:val="center"/>
              <w:rPr>
                <w:rFonts w:hint="eastAsia" w:ascii="仿宋_GB2312" w:hAnsi="仿宋_GB2312" w:eastAsia="仿宋_GB2312" w:cs="仿宋_GB2312"/>
                <w:color w:val="000000"/>
                <w:kern w:val="0"/>
                <w:sz w:val="32"/>
                <w:szCs w:val="32"/>
                <w:lang w:val="en-US" w:eastAsia="zh-CN"/>
              </w:rPr>
            </w:pPr>
          </w:p>
        </w:tc>
      </w:tr>
      <w:tr w14:paraId="643A0D7C">
        <w:tblPrEx>
          <w:tblCellMar>
            <w:top w:w="0" w:type="dxa"/>
            <w:left w:w="108" w:type="dxa"/>
            <w:bottom w:w="0" w:type="dxa"/>
            <w:right w:w="108" w:type="dxa"/>
          </w:tblCellMar>
        </w:tblPrEx>
        <w:trPr>
          <w:trHeight w:val="283" w:hRule="atLeast"/>
          <w:jc w:val="center"/>
        </w:trPr>
        <w:tc>
          <w:tcPr>
            <w:tcW w:w="934" w:type="dxa"/>
            <w:tcBorders>
              <w:top w:val="nil"/>
              <w:left w:val="single" w:color="auto" w:sz="4" w:space="0"/>
              <w:bottom w:val="single" w:color="auto" w:sz="4" w:space="0"/>
              <w:right w:val="single" w:color="auto" w:sz="4" w:space="0"/>
            </w:tcBorders>
            <w:noWrap w:val="0"/>
            <w:vAlign w:val="center"/>
          </w:tcPr>
          <w:p w14:paraId="02EF9C72">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p>
        </w:tc>
        <w:tc>
          <w:tcPr>
            <w:tcW w:w="1136" w:type="dxa"/>
            <w:vMerge w:val="continue"/>
            <w:tcBorders>
              <w:left w:val="nil"/>
              <w:right w:val="single" w:color="auto" w:sz="4" w:space="0"/>
            </w:tcBorders>
            <w:noWrap w:val="0"/>
            <w:vAlign w:val="center"/>
          </w:tcPr>
          <w:p w14:paraId="4BB46C0F">
            <w:pPr>
              <w:widowControl/>
              <w:jc w:val="center"/>
              <w:rPr>
                <w:rFonts w:hint="eastAsia" w:ascii="仿宋_GB2312" w:hAnsi="仿宋_GB2312" w:eastAsia="仿宋_GB2312" w:cs="仿宋_GB2312"/>
                <w:kern w:val="0"/>
                <w:sz w:val="32"/>
                <w:szCs w:val="32"/>
              </w:rPr>
            </w:pPr>
          </w:p>
        </w:tc>
        <w:tc>
          <w:tcPr>
            <w:tcW w:w="2264" w:type="dxa"/>
            <w:tcBorders>
              <w:top w:val="nil"/>
              <w:left w:val="nil"/>
              <w:bottom w:val="single" w:color="auto" w:sz="4" w:space="0"/>
              <w:right w:val="single" w:color="auto" w:sz="4" w:space="0"/>
            </w:tcBorders>
            <w:noWrap w:val="0"/>
            <w:vAlign w:val="center"/>
          </w:tcPr>
          <w:p w14:paraId="223D4948">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100km～200km</w:t>
            </w:r>
          </w:p>
        </w:tc>
        <w:tc>
          <w:tcPr>
            <w:tcW w:w="1579" w:type="dxa"/>
            <w:tcBorders>
              <w:top w:val="nil"/>
              <w:left w:val="nil"/>
              <w:bottom w:val="single" w:color="auto" w:sz="4" w:space="0"/>
              <w:right w:val="single" w:color="auto" w:sz="4" w:space="0"/>
            </w:tcBorders>
            <w:noWrap w:val="0"/>
            <w:vAlign w:val="center"/>
          </w:tcPr>
          <w:p w14:paraId="0799271F">
            <w:pPr>
              <w:widowControl/>
              <w:jc w:val="center"/>
              <w:rPr>
                <w:rFonts w:hint="eastAsia" w:ascii="仿宋_GB2312" w:hAnsi="仿宋_GB2312" w:eastAsia="仿宋_GB2312" w:cs="仿宋_GB2312"/>
                <w:color w:val="000000"/>
                <w:kern w:val="0"/>
                <w:sz w:val="32"/>
                <w:szCs w:val="32"/>
                <w:lang w:val="en-US" w:eastAsia="zh-CN"/>
              </w:rPr>
            </w:pPr>
          </w:p>
        </w:tc>
        <w:tc>
          <w:tcPr>
            <w:tcW w:w="1579" w:type="dxa"/>
            <w:tcBorders>
              <w:top w:val="nil"/>
              <w:left w:val="nil"/>
              <w:bottom w:val="single" w:color="auto" w:sz="4" w:space="0"/>
              <w:right w:val="single" w:color="auto" w:sz="4" w:space="0"/>
            </w:tcBorders>
            <w:shd w:val="clear" w:color="auto" w:fill="auto"/>
            <w:noWrap w:val="0"/>
            <w:vAlign w:val="center"/>
          </w:tcPr>
          <w:p w14:paraId="4183790D">
            <w:pPr>
              <w:widowControl/>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1000</w:t>
            </w:r>
          </w:p>
        </w:tc>
        <w:tc>
          <w:tcPr>
            <w:tcW w:w="1579" w:type="dxa"/>
            <w:tcBorders>
              <w:top w:val="nil"/>
              <w:left w:val="nil"/>
              <w:bottom w:val="single" w:color="auto" w:sz="4" w:space="0"/>
              <w:right w:val="single" w:color="auto" w:sz="4" w:space="0"/>
            </w:tcBorders>
            <w:noWrap w:val="0"/>
            <w:vAlign w:val="center"/>
          </w:tcPr>
          <w:p w14:paraId="1B83284C">
            <w:pPr>
              <w:widowControl/>
              <w:jc w:val="center"/>
              <w:rPr>
                <w:rFonts w:hint="eastAsia" w:ascii="仿宋_GB2312" w:hAnsi="仿宋_GB2312" w:eastAsia="仿宋_GB2312" w:cs="仿宋_GB2312"/>
                <w:color w:val="000000"/>
                <w:kern w:val="0"/>
                <w:sz w:val="32"/>
                <w:szCs w:val="32"/>
                <w:lang w:val="en-US" w:eastAsia="zh-CN"/>
              </w:rPr>
            </w:pPr>
          </w:p>
        </w:tc>
      </w:tr>
      <w:tr w14:paraId="1464FDCC">
        <w:tblPrEx>
          <w:tblCellMar>
            <w:top w:w="0" w:type="dxa"/>
            <w:left w:w="108" w:type="dxa"/>
            <w:bottom w:w="0" w:type="dxa"/>
            <w:right w:w="108" w:type="dxa"/>
          </w:tblCellMar>
        </w:tblPrEx>
        <w:trPr>
          <w:trHeight w:val="283" w:hRule="atLeast"/>
          <w:jc w:val="center"/>
        </w:trPr>
        <w:tc>
          <w:tcPr>
            <w:tcW w:w="934" w:type="dxa"/>
            <w:tcBorders>
              <w:top w:val="nil"/>
              <w:left w:val="single" w:color="auto" w:sz="4" w:space="0"/>
              <w:bottom w:val="single" w:color="auto" w:sz="4" w:space="0"/>
              <w:right w:val="single" w:color="auto" w:sz="4" w:space="0"/>
            </w:tcBorders>
            <w:noWrap w:val="0"/>
            <w:vAlign w:val="center"/>
          </w:tcPr>
          <w:p w14:paraId="244959A5">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p>
        </w:tc>
        <w:tc>
          <w:tcPr>
            <w:tcW w:w="1136" w:type="dxa"/>
            <w:vMerge w:val="continue"/>
            <w:tcBorders>
              <w:left w:val="nil"/>
              <w:right w:val="single" w:color="auto" w:sz="4" w:space="0"/>
            </w:tcBorders>
            <w:noWrap w:val="0"/>
            <w:vAlign w:val="center"/>
          </w:tcPr>
          <w:p w14:paraId="4415C436">
            <w:pPr>
              <w:widowControl/>
              <w:jc w:val="center"/>
              <w:rPr>
                <w:rFonts w:hint="eastAsia" w:ascii="仿宋_GB2312" w:hAnsi="仿宋_GB2312" w:eastAsia="仿宋_GB2312" w:cs="仿宋_GB2312"/>
                <w:kern w:val="0"/>
                <w:sz w:val="32"/>
                <w:szCs w:val="32"/>
              </w:rPr>
            </w:pPr>
          </w:p>
        </w:tc>
        <w:tc>
          <w:tcPr>
            <w:tcW w:w="2264" w:type="dxa"/>
            <w:tcBorders>
              <w:top w:val="nil"/>
              <w:left w:val="nil"/>
              <w:bottom w:val="single" w:color="auto" w:sz="4" w:space="0"/>
              <w:right w:val="single" w:color="auto" w:sz="4" w:space="0"/>
            </w:tcBorders>
            <w:noWrap w:val="0"/>
            <w:vAlign w:val="center"/>
          </w:tcPr>
          <w:p w14:paraId="2CFAD2A1">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200km～300km</w:t>
            </w:r>
          </w:p>
        </w:tc>
        <w:tc>
          <w:tcPr>
            <w:tcW w:w="1579" w:type="dxa"/>
            <w:tcBorders>
              <w:top w:val="nil"/>
              <w:left w:val="nil"/>
              <w:bottom w:val="single" w:color="auto" w:sz="4" w:space="0"/>
              <w:right w:val="single" w:color="auto" w:sz="4" w:space="0"/>
            </w:tcBorders>
            <w:noWrap w:val="0"/>
            <w:vAlign w:val="center"/>
          </w:tcPr>
          <w:p w14:paraId="64C36FBA">
            <w:pPr>
              <w:widowControl/>
              <w:jc w:val="center"/>
              <w:rPr>
                <w:rFonts w:hint="eastAsia" w:ascii="仿宋_GB2312" w:hAnsi="仿宋_GB2312" w:eastAsia="仿宋_GB2312" w:cs="仿宋_GB2312"/>
                <w:color w:val="000000"/>
                <w:kern w:val="0"/>
                <w:sz w:val="32"/>
                <w:szCs w:val="32"/>
                <w:lang w:val="en-US" w:eastAsia="zh-CN"/>
              </w:rPr>
            </w:pPr>
          </w:p>
        </w:tc>
        <w:tc>
          <w:tcPr>
            <w:tcW w:w="1579" w:type="dxa"/>
            <w:tcBorders>
              <w:top w:val="nil"/>
              <w:left w:val="nil"/>
              <w:bottom w:val="single" w:color="auto" w:sz="4" w:space="0"/>
              <w:right w:val="single" w:color="auto" w:sz="4" w:space="0"/>
            </w:tcBorders>
            <w:shd w:val="clear" w:color="auto" w:fill="auto"/>
            <w:noWrap w:val="0"/>
            <w:vAlign w:val="center"/>
          </w:tcPr>
          <w:p w14:paraId="71FDAA5D">
            <w:pPr>
              <w:widowControl/>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500</w:t>
            </w:r>
          </w:p>
        </w:tc>
        <w:tc>
          <w:tcPr>
            <w:tcW w:w="1579" w:type="dxa"/>
            <w:tcBorders>
              <w:top w:val="nil"/>
              <w:left w:val="nil"/>
              <w:bottom w:val="single" w:color="auto" w:sz="4" w:space="0"/>
              <w:right w:val="single" w:color="auto" w:sz="4" w:space="0"/>
            </w:tcBorders>
            <w:noWrap w:val="0"/>
            <w:vAlign w:val="center"/>
          </w:tcPr>
          <w:p w14:paraId="0DF62763">
            <w:pPr>
              <w:widowControl/>
              <w:jc w:val="center"/>
              <w:rPr>
                <w:rFonts w:hint="eastAsia" w:ascii="仿宋_GB2312" w:hAnsi="仿宋_GB2312" w:eastAsia="仿宋_GB2312" w:cs="仿宋_GB2312"/>
                <w:color w:val="000000"/>
                <w:kern w:val="0"/>
                <w:sz w:val="32"/>
                <w:szCs w:val="32"/>
                <w:lang w:val="en-US" w:eastAsia="zh-CN"/>
              </w:rPr>
            </w:pPr>
          </w:p>
        </w:tc>
      </w:tr>
      <w:tr w14:paraId="6A33E6FC">
        <w:tblPrEx>
          <w:tblCellMar>
            <w:top w:w="0" w:type="dxa"/>
            <w:left w:w="108" w:type="dxa"/>
            <w:bottom w:w="0" w:type="dxa"/>
            <w:right w:w="108" w:type="dxa"/>
          </w:tblCellMar>
        </w:tblPrEx>
        <w:trPr>
          <w:trHeight w:val="283" w:hRule="atLeast"/>
          <w:jc w:val="center"/>
        </w:trPr>
        <w:tc>
          <w:tcPr>
            <w:tcW w:w="934" w:type="dxa"/>
            <w:tcBorders>
              <w:top w:val="nil"/>
              <w:left w:val="single" w:color="auto" w:sz="4" w:space="0"/>
              <w:bottom w:val="single" w:color="auto" w:sz="4" w:space="0"/>
              <w:right w:val="single" w:color="auto" w:sz="4" w:space="0"/>
            </w:tcBorders>
            <w:noWrap w:val="0"/>
            <w:vAlign w:val="center"/>
          </w:tcPr>
          <w:p w14:paraId="5B2C3F64">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p>
        </w:tc>
        <w:tc>
          <w:tcPr>
            <w:tcW w:w="1136" w:type="dxa"/>
            <w:vMerge w:val="continue"/>
            <w:tcBorders>
              <w:left w:val="nil"/>
              <w:bottom w:val="single" w:color="auto" w:sz="4" w:space="0"/>
              <w:right w:val="single" w:color="auto" w:sz="4" w:space="0"/>
            </w:tcBorders>
            <w:noWrap w:val="0"/>
            <w:vAlign w:val="center"/>
          </w:tcPr>
          <w:p w14:paraId="707CD78D">
            <w:pPr>
              <w:widowControl/>
              <w:jc w:val="center"/>
              <w:rPr>
                <w:rFonts w:hint="eastAsia" w:ascii="仿宋_GB2312" w:hAnsi="仿宋_GB2312" w:eastAsia="仿宋_GB2312" w:cs="仿宋_GB2312"/>
                <w:kern w:val="0"/>
                <w:sz w:val="32"/>
                <w:szCs w:val="32"/>
              </w:rPr>
            </w:pPr>
          </w:p>
        </w:tc>
        <w:tc>
          <w:tcPr>
            <w:tcW w:w="2264" w:type="dxa"/>
            <w:tcBorders>
              <w:top w:val="nil"/>
              <w:left w:val="nil"/>
              <w:bottom w:val="single" w:color="auto" w:sz="4" w:space="0"/>
              <w:right w:val="single" w:color="auto" w:sz="4" w:space="0"/>
            </w:tcBorders>
            <w:noWrap w:val="0"/>
            <w:vAlign w:val="center"/>
          </w:tcPr>
          <w:p w14:paraId="749162F7">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300km～400km</w:t>
            </w:r>
          </w:p>
        </w:tc>
        <w:tc>
          <w:tcPr>
            <w:tcW w:w="1579" w:type="dxa"/>
            <w:tcBorders>
              <w:top w:val="nil"/>
              <w:left w:val="nil"/>
              <w:bottom w:val="single" w:color="auto" w:sz="4" w:space="0"/>
              <w:right w:val="single" w:color="auto" w:sz="4" w:space="0"/>
            </w:tcBorders>
            <w:noWrap w:val="0"/>
            <w:vAlign w:val="center"/>
          </w:tcPr>
          <w:p w14:paraId="30989AF7">
            <w:pPr>
              <w:widowControl/>
              <w:jc w:val="center"/>
              <w:rPr>
                <w:rFonts w:hint="eastAsia" w:ascii="仿宋_GB2312" w:hAnsi="仿宋_GB2312" w:eastAsia="仿宋_GB2312" w:cs="仿宋_GB2312"/>
                <w:color w:val="000000"/>
                <w:kern w:val="0"/>
                <w:sz w:val="32"/>
                <w:szCs w:val="32"/>
                <w:lang w:val="en-US" w:eastAsia="zh-CN"/>
              </w:rPr>
            </w:pPr>
          </w:p>
        </w:tc>
        <w:tc>
          <w:tcPr>
            <w:tcW w:w="1579" w:type="dxa"/>
            <w:tcBorders>
              <w:top w:val="nil"/>
              <w:left w:val="nil"/>
              <w:bottom w:val="single" w:color="auto" w:sz="4" w:space="0"/>
              <w:right w:val="single" w:color="auto" w:sz="4" w:space="0"/>
            </w:tcBorders>
            <w:shd w:val="clear" w:color="auto" w:fill="auto"/>
            <w:noWrap w:val="0"/>
            <w:vAlign w:val="center"/>
          </w:tcPr>
          <w:p w14:paraId="3B9299F9">
            <w:pPr>
              <w:widowControl/>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500</w:t>
            </w:r>
          </w:p>
        </w:tc>
        <w:tc>
          <w:tcPr>
            <w:tcW w:w="1579" w:type="dxa"/>
            <w:tcBorders>
              <w:top w:val="nil"/>
              <w:left w:val="nil"/>
              <w:bottom w:val="single" w:color="auto" w:sz="4" w:space="0"/>
              <w:right w:val="single" w:color="auto" w:sz="4" w:space="0"/>
            </w:tcBorders>
            <w:noWrap w:val="0"/>
            <w:vAlign w:val="center"/>
          </w:tcPr>
          <w:p w14:paraId="50C61EF9">
            <w:pPr>
              <w:widowControl/>
              <w:jc w:val="center"/>
              <w:rPr>
                <w:rFonts w:hint="eastAsia" w:ascii="仿宋_GB2312" w:hAnsi="仿宋_GB2312" w:eastAsia="仿宋_GB2312" w:cs="仿宋_GB2312"/>
                <w:color w:val="000000"/>
                <w:kern w:val="0"/>
                <w:sz w:val="32"/>
                <w:szCs w:val="32"/>
                <w:lang w:val="en-US" w:eastAsia="zh-CN"/>
              </w:rPr>
            </w:pPr>
          </w:p>
        </w:tc>
      </w:tr>
      <w:tr w14:paraId="321D23F4">
        <w:tblPrEx>
          <w:tblCellMar>
            <w:top w:w="0" w:type="dxa"/>
            <w:left w:w="108" w:type="dxa"/>
            <w:bottom w:w="0" w:type="dxa"/>
            <w:right w:w="108" w:type="dxa"/>
          </w:tblCellMar>
        </w:tblPrEx>
        <w:trPr>
          <w:trHeight w:val="359" w:hRule="atLeast"/>
          <w:jc w:val="center"/>
        </w:trPr>
        <w:tc>
          <w:tcPr>
            <w:tcW w:w="2070" w:type="dxa"/>
            <w:gridSpan w:val="2"/>
            <w:tcBorders>
              <w:top w:val="nil"/>
              <w:left w:val="single" w:color="auto" w:sz="4" w:space="0"/>
              <w:bottom w:val="single" w:color="auto" w:sz="4" w:space="0"/>
              <w:right w:val="single" w:color="auto" w:sz="4" w:space="0"/>
            </w:tcBorders>
            <w:noWrap w:val="0"/>
            <w:vAlign w:val="center"/>
          </w:tcPr>
          <w:p w14:paraId="607DE540">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总计</w:t>
            </w:r>
          </w:p>
        </w:tc>
        <w:tc>
          <w:tcPr>
            <w:tcW w:w="5422" w:type="dxa"/>
            <w:gridSpan w:val="3"/>
            <w:tcBorders>
              <w:top w:val="nil"/>
              <w:left w:val="nil"/>
              <w:bottom w:val="single" w:color="auto" w:sz="4" w:space="0"/>
              <w:right w:val="single" w:color="auto" w:sz="4" w:space="0"/>
            </w:tcBorders>
            <w:noWrap w:val="0"/>
            <w:vAlign w:val="center"/>
          </w:tcPr>
          <w:p w14:paraId="45DA3318">
            <w:pPr>
              <w:widowControl/>
              <w:jc w:val="center"/>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b w:val="0"/>
                <w:bCs w:val="0"/>
                <w:color w:val="000000"/>
                <w:sz w:val="32"/>
                <w:szCs w:val="32"/>
                <w:highlight w:val="none"/>
                <w:lang w:val="en-US"/>
              </w:rPr>
              <w:t>含税总额（元）（增值税率：</w:t>
            </w:r>
            <w:r>
              <w:rPr>
                <w:rFonts w:hint="eastAsia" w:ascii="仿宋_GB2312" w:hAnsi="仿宋_GB2312" w:eastAsia="仿宋_GB2312" w:cs="仿宋_GB2312"/>
                <w:b w:val="0"/>
                <w:bCs w:val="0"/>
                <w:color w:val="000000"/>
                <w:sz w:val="32"/>
                <w:szCs w:val="32"/>
                <w:highlight w:val="none"/>
                <w:lang w:val="en-US" w:eastAsia="zh-CN"/>
              </w:rPr>
              <w:t>9</w:t>
            </w:r>
            <w:r>
              <w:rPr>
                <w:rFonts w:hint="default" w:ascii="仿宋_GB2312" w:hAnsi="仿宋_GB2312" w:eastAsia="仿宋_GB2312" w:cs="仿宋_GB2312"/>
                <w:b w:val="0"/>
                <w:bCs w:val="0"/>
                <w:color w:val="000000"/>
                <w:sz w:val="32"/>
                <w:szCs w:val="32"/>
                <w:highlight w:val="none"/>
                <w:lang w:val="en-US"/>
              </w:rPr>
              <w:t>%）</w:t>
            </w:r>
          </w:p>
        </w:tc>
        <w:tc>
          <w:tcPr>
            <w:tcW w:w="1579" w:type="dxa"/>
            <w:tcBorders>
              <w:top w:val="nil"/>
              <w:left w:val="nil"/>
              <w:bottom w:val="single" w:color="auto" w:sz="4" w:space="0"/>
              <w:right w:val="single" w:color="auto" w:sz="4" w:space="0"/>
            </w:tcBorders>
            <w:noWrap w:val="0"/>
            <w:vAlign w:val="center"/>
          </w:tcPr>
          <w:p w14:paraId="260B8A73">
            <w:pPr>
              <w:widowControl/>
              <w:jc w:val="center"/>
              <w:rPr>
                <w:rFonts w:hint="eastAsia" w:ascii="仿宋_GB2312" w:hAnsi="仿宋_GB2312" w:eastAsia="仿宋_GB2312" w:cs="仿宋_GB2312"/>
                <w:color w:val="000000"/>
                <w:kern w:val="0"/>
                <w:sz w:val="32"/>
                <w:szCs w:val="32"/>
                <w:lang w:val="en-US" w:eastAsia="zh-CN"/>
              </w:rPr>
            </w:pPr>
          </w:p>
        </w:tc>
      </w:tr>
    </w:tbl>
    <w:p w14:paraId="75DDD1C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2"/>
          <w:sz w:val="32"/>
          <w:szCs w:val="32"/>
          <w:highlight w:val="none"/>
          <w:lang w:val="en-US" w:eastAsia="zh-CN" w:bidi="ar-SA"/>
        </w:rPr>
      </w:pPr>
      <w:bookmarkStart w:id="293" w:name="_Toc3721"/>
      <w:r>
        <w:rPr>
          <w:rFonts w:hint="eastAsia" w:ascii="仿宋_GB2312" w:hAnsi="仿宋_GB2312" w:eastAsia="仿宋_GB2312" w:cs="仿宋_GB2312"/>
          <w:color w:val="000000"/>
          <w:kern w:val="2"/>
          <w:sz w:val="32"/>
          <w:szCs w:val="32"/>
          <w:highlight w:val="none"/>
          <w:lang w:val="en-US" w:eastAsia="zh-CN" w:bidi="ar-SA"/>
        </w:rPr>
        <w:t>注：总费用包含运输费、保险费、管理费、售后服务、高速过路费、税费(9%)以及其他所有相关费用。</w:t>
      </w:r>
    </w:p>
    <w:p w14:paraId="0A9293B6">
      <w:pPr>
        <w:keepNext w:val="0"/>
        <w:keepLines w:val="0"/>
        <w:pageBreakBefore w:val="0"/>
        <w:kinsoku/>
        <w:wordWrap/>
        <w:overflowPunct/>
        <w:topLinePunct w:val="0"/>
        <w:autoSpaceDE/>
        <w:autoSpaceDN/>
        <w:bidi w:val="0"/>
        <w:adjustRightInd/>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二</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lang w:eastAsia="zh-CN"/>
        </w:rPr>
        <w:t>甲方以托运单、电话、微信等形式通知乙方</w:t>
      </w:r>
      <w:r>
        <w:rPr>
          <w:rFonts w:hint="eastAsia" w:ascii="仿宋_GB2312" w:hAnsi="仿宋_GB2312" w:eastAsia="仿宋_GB2312" w:cs="仿宋_GB2312"/>
          <w:sz w:val="32"/>
          <w:szCs w:val="32"/>
          <w:highlight w:val="none"/>
          <w:lang w:val="en-US" w:eastAsia="zh-CN"/>
        </w:rPr>
        <w:t>托运货物、</w:t>
      </w:r>
      <w:r>
        <w:rPr>
          <w:rFonts w:hint="eastAsia" w:ascii="仿宋_GB2312" w:hAnsi="仿宋_GB2312" w:eastAsia="仿宋_GB2312" w:cs="仿宋_GB2312"/>
          <w:sz w:val="32"/>
          <w:szCs w:val="32"/>
          <w:highlight w:val="none"/>
          <w:lang w:eastAsia="zh-CN"/>
        </w:rPr>
        <w:t>装卸货时间、</w:t>
      </w:r>
      <w:r>
        <w:rPr>
          <w:rFonts w:hint="eastAsia" w:ascii="仿宋_GB2312" w:hAnsi="仿宋_GB2312" w:eastAsia="仿宋_GB2312" w:cs="仿宋_GB2312"/>
          <w:sz w:val="32"/>
          <w:szCs w:val="32"/>
          <w:highlight w:val="none"/>
          <w:lang w:val="en-US" w:eastAsia="zh-CN"/>
        </w:rPr>
        <w:t>地址、联系人等</w:t>
      </w:r>
      <w:r>
        <w:rPr>
          <w:rFonts w:hint="eastAsia" w:ascii="仿宋_GB2312" w:hAnsi="仿宋_GB2312" w:eastAsia="仿宋_GB2312" w:cs="仿宋_GB2312"/>
          <w:sz w:val="32"/>
          <w:szCs w:val="32"/>
          <w:highlight w:val="none"/>
          <w:lang w:eastAsia="zh-CN"/>
        </w:rPr>
        <w:t>，乙方确认无误后执行承运任务。</w:t>
      </w:r>
      <w:r>
        <w:rPr>
          <w:rFonts w:hint="eastAsia" w:ascii="仿宋_GB2312" w:hAnsi="仿宋_GB2312" w:eastAsia="仿宋_GB2312" w:cs="仿宋_GB2312"/>
          <w:sz w:val="32"/>
          <w:szCs w:val="32"/>
          <w:highlight w:val="none"/>
          <w:lang w:val="en-US" w:eastAsia="zh-CN"/>
        </w:rPr>
        <w:t>乙方并应在12小时内派出车辆到达甲方指定地点装货。</w:t>
      </w:r>
    </w:p>
    <w:p w14:paraId="025685A8">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三</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本合同为单价合同，每次运费按实计算，按月结算确认：实际运输距离对应的单价乘以载重量进行结算，运输距离以百度地图所示两地间的距离确定</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乙方应选择最短、最安全的运输路线，不得无故绕行或增加运输距离。如因特殊情况需要变更通常路线的，乙方应事先告知甲方并获同意。</w:t>
      </w:r>
    </w:p>
    <w:p w14:paraId="292B6645">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四</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甲方应至少比约定托运日提前一天将托运通知单等发送给乙方，以便乙方妥善办理车辆调度等工作。</w:t>
      </w:r>
    </w:p>
    <w:bookmarkEnd w:id="293"/>
    <w:p w14:paraId="5BB3977D">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kern w:val="2"/>
          <w:sz w:val="32"/>
          <w:szCs w:val="32"/>
          <w:highlight w:val="none"/>
          <w:lang w:val="en-US" w:eastAsia="zh-CN" w:bidi="ar-SA"/>
        </w:rPr>
      </w:pPr>
      <w:bookmarkStart w:id="294" w:name="_Toc20378"/>
      <w:r>
        <w:rPr>
          <w:rFonts w:hint="eastAsia" w:ascii="仿宋_GB2312" w:hAnsi="仿宋_GB2312" w:eastAsia="仿宋_GB2312" w:cs="仿宋_GB2312"/>
          <w:b/>
          <w:bCs/>
          <w:kern w:val="2"/>
          <w:sz w:val="32"/>
          <w:szCs w:val="32"/>
          <w:highlight w:val="none"/>
          <w:lang w:val="en-US" w:eastAsia="zh-CN" w:bidi="ar-SA"/>
        </w:rPr>
        <w:t>四、货物托运</w:t>
      </w:r>
    </w:p>
    <w:p w14:paraId="4BF2767E">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（一）甲方托运货物需要办理审批、检验等手续的，由甲方负责办理并将有关手续文件提交给乙方，并配合乙方工作，及时为乙方承运车辆办理提货、装货等相关手续，指导乙方进入指定的发货地点。</w:t>
      </w:r>
    </w:p>
    <w:p w14:paraId="4369C01F">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（二）甲方委托乙方运输的货物应符合标准，保证货物的质量、包装和温度等符合运输标准，如货物价值较大或需要特别注意事项的，应当向乙方告知。</w:t>
      </w:r>
    </w:p>
    <w:p w14:paraId="3A6C188D">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（三）乙方按照上述信息准确交付货物，到货后乙方应及时向甲方提供货物签收证明单。</w:t>
      </w:r>
    </w:p>
    <w:p w14:paraId="0337585E">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五、货物承运</w:t>
      </w:r>
    </w:p>
    <w:p w14:paraId="4D79ACFF">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（一）乙方应持有国家工商管理部门颁发的经营公路货物运输的营业执照及经营许可证，并按照双方确认的托运通知单要求为甲方安排合适的车辆和技术熟练的驾驶员。</w:t>
      </w:r>
    </w:p>
    <w:p w14:paraId="7DF64447">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（二）乙方在合同规定的运输期间内，应确保货物原有的包装、数量、防雨、防潮，并安全地将货物运送到指定地点，进行货物交接签收。</w:t>
      </w:r>
    </w:p>
    <w:p w14:paraId="58D87600">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三）乙方应在货物运输中，保持与甲方的联系，若发生意外或其他异常情况，乙方应第一时间向甲方报告情况。若造成货物损失，乙方应及时进行处理，以减少损失，并详细提供事故的相关资料，甲方应当及时配合乙方提供书面材料并派员参加。</w:t>
      </w:r>
    </w:p>
    <w:p w14:paraId="3C23BAFA">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六、甲方包装要求</w:t>
      </w:r>
    </w:p>
    <w:p w14:paraId="6A8DD7C4">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（一）甲方应当按照国家规定的标准对货物进行包装，没有统一规定包装标准的，应根据保证货物安全运输的原则进行包装，甲方货物包装不符合上述要求而导致货物损坏的，责任由甲方自负。</w:t>
      </w:r>
    </w:p>
    <w:p w14:paraId="16EEB592">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七、运输费用及结算方式</w:t>
      </w:r>
    </w:p>
    <w:p w14:paraId="6E0EB1B2">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（一）运费按本合同约定据实计算，双方在本合同基础上另行签署托运通知单与本合同约定不一致的，以通知单载明的价格及签收单确认的收货信息结算运费。</w:t>
      </w:r>
    </w:p>
    <w:p w14:paraId="295D8205">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（二）乙方根据结算单据每月25日同甲方进行对账，甲方在5个工作日内核对完毕，并通知乙方开具增值税运输发票（9%）；甲方财务确认收齐乙方有效运输发票等结算凭证后，在10日内向乙方付清运费。</w:t>
      </w:r>
    </w:p>
    <w:bookmarkEnd w:id="294"/>
    <w:p w14:paraId="0E5D8059">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（三）银行账户信息</w:t>
      </w:r>
    </w:p>
    <w:p w14:paraId="3AE0B456">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1.甲方银行账户信息：</w:t>
      </w:r>
    </w:p>
    <w:p w14:paraId="205DD0FC">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开户银行：                                    </w:t>
      </w:r>
    </w:p>
    <w:p w14:paraId="789E7C2A">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银行账号：                                    </w:t>
      </w:r>
    </w:p>
    <w:p w14:paraId="0B62573A">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开户名称：                                    </w:t>
      </w:r>
    </w:p>
    <w:p w14:paraId="485E8E00">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2.乙方银行账户信息</w:t>
      </w:r>
    </w:p>
    <w:p w14:paraId="394A1491">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开户银行：                                    </w:t>
      </w:r>
    </w:p>
    <w:p w14:paraId="270C3D40">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银行账号：                                    </w:t>
      </w:r>
    </w:p>
    <w:p w14:paraId="58DA7EC7">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开户名称： </w:t>
      </w:r>
    </w:p>
    <w:p w14:paraId="0FFBB391">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（四）双方在本合同基础上另行签署付款节点与本合同约定不一致的，以经双方认可另行签署付款节点付款结算运费。                                  </w:t>
      </w:r>
    </w:p>
    <w:p w14:paraId="2A755A10">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lang w:val="en-US" w:eastAsia="zh-CN"/>
        </w:rPr>
      </w:pPr>
      <w:bookmarkStart w:id="295" w:name="_Toc5674"/>
      <w:r>
        <w:rPr>
          <w:rFonts w:hint="eastAsia" w:ascii="仿宋_GB2312" w:hAnsi="仿宋_GB2312" w:eastAsia="仿宋_GB2312" w:cs="仿宋_GB2312"/>
          <w:b/>
          <w:bCs/>
          <w:sz w:val="32"/>
          <w:szCs w:val="32"/>
          <w:highlight w:val="none"/>
          <w:lang w:val="en-US" w:eastAsia="zh-CN"/>
        </w:rPr>
        <w:t>八、履约保证金金额及形式</w:t>
      </w:r>
      <w:bookmarkEnd w:id="295"/>
    </w:p>
    <w:p w14:paraId="50E4D00B">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（一）履约保证金金额：50000元；</w:t>
      </w:r>
    </w:p>
    <w:p w14:paraId="554EFE05">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（二）履约保证金币种：人民币；</w:t>
      </w:r>
    </w:p>
    <w:p w14:paraId="519143BB">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（三）履约保证金形式：响应保证金自动转为履约保证金，履约保证金的退还需在合同届满且乙方无违约情形下，无息退还至乙方指定银行账户。</w:t>
      </w:r>
    </w:p>
    <w:p w14:paraId="1F7BAE22">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lang w:val="en-US" w:eastAsia="zh-CN"/>
        </w:rPr>
      </w:pPr>
      <w:bookmarkStart w:id="296" w:name="_Toc28963"/>
      <w:r>
        <w:rPr>
          <w:rFonts w:hint="eastAsia" w:ascii="仿宋_GB2312" w:hAnsi="仿宋_GB2312" w:eastAsia="仿宋_GB2312" w:cs="仿宋_GB2312"/>
          <w:b/>
          <w:bCs/>
          <w:sz w:val="32"/>
          <w:szCs w:val="32"/>
          <w:highlight w:val="none"/>
          <w:lang w:val="en-US" w:eastAsia="zh-CN"/>
        </w:rPr>
        <w:t>九、合同有效期</w:t>
      </w:r>
      <w:bookmarkEnd w:id="296"/>
    </w:p>
    <w:p w14:paraId="31354B98">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合同签订之日起一年内有效。</w:t>
      </w:r>
    </w:p>
    <w:p w14:paraId="09A07E09">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lang w:val="en-US" w:eastAsia="zh-CN"/>
        </w:rPr>
      </w:pPr>
      <w:bookmarkStart w:id="297" w:name="_Toc12396"/>
      <w:r>
        <w:rPr>
          <w:rFonts w:hint="eastAsia" w:ascii="仿宋_GB2312" w:hAnsi="仿宋_GB2312" w:eastAsia="仿宋_GB2312" w:cs="仿宋_GB2312"/>
          <w:b/>
          <w:bCs/>
          <w:sz w:val="32"/>
          <w:szCs w:val="32"/>
          <w:highlight w:val="none"/>
          <w:lang w:val="en-US" w:eastAsia="zh-CN"/>
        </w:rPr>
        <w:t>十、</w:t>
      </w:r>
      <w:bookmarkEnd w:id="297"/>
      <w:bookmarkStart w:id="298" w:name="_Toc11620"/>
      <w:r>
        <w:rPr>
          <w:rFonts w:hint="eastAsia" w:ascii="仿宋_GB2312" w:hAnsi="仿宋_GB2312" w:eastAsia="仿宋_GB2312" w:cs="仿宋_GB2312"/>
          <w:b/>
          <w:bCs/>
          <w:sz w:val="32"/>
          <w:szCs w:val="32"/>
          <w:highlight w:val="none"/>
          <w:lang w:val="en-US" w:eastAsia="zh-CN"/>
        </w:rPr>
        <w:t>双方责任</w:t>
      </w:r>
    </w:p>
    <w:p w14:paraId="2947E2C5">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1.托运人责任（甲方）</w:t>
      </w:r>
    </w:p>
    <w:p w14:paraId="5E48816A">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（1）甲方有义务按照合同约定时间向乙方支付运费，若甲方未按照合同约定付款，每延迟一天按逾期运费0.1%的标准向乙方支付违约金。</w:t>
      </w:r>
    </w:p>
    <w:p w14:paraId="3B42249E">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（2）甲方托运的货物的包装方式应当与该产品性能、规格相符。由于货物包装缺陷致使货物损坏或者污染、腐蚀运输工具、机械设备或造成人身伤亡的，托运方应承担赔偿责任。</w:t>
      </w:r>
    </w:p>
    <w:p w14:paraId="52DCA0D1">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2.承运人责任（乙方）</w:t>
      </w:r>
    </w:p>
    <w:p w14:paraId="5EF27E92">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（1）乙方有义务在约定期限内将货物运抵目的地。若乙方未按约定时间到达目的地，每延迟一天，乙方应当按照该批次运费0.1%的标准向甲方支付违约金，并承担因延误导致的甲方违约损失。</w:t>
      </w:r>
    </w:p>
    <w:p w14:paraId="4D476117">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在运输过程中因乙方过错导致货物发生灭失、短少、变质、污染、损坏的，乙方需承担因此造成甲方的所有直接经济损失。若货物损失由保险公司赔偿的，乙方应及时完整配合甲方办理保险理赔事宜；保险款项到达甲方账户后，甲方同意放弃对乙方进行追索。</w:t>
      </w:r>
    </w:p>
    <w:p w14:paraId="0C294A83">
      <w:pPr>
        <w:keepNext w:val="0"/>
        <w:keepLines w:val="0"/>
        <w:pageBreakBefore w:val="0"/>
        <w:kinsoku/>
        <w:wordWrap/>
        <w:overflowPunct/>
        <w:topLinePunct w:val="0"/>
        <w:autoSpaceDE/>
        <w:autoSpaceDN/>
        <w:bidi w:val="0"/>
        <w:adjustRightInd/>
        <w:spacing w:line="560" w:lineRule="exact"/>
        <w:ind w:firstLine="640" w:firstLineChars="200"/>
        <w:outlineLvl w:val="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（3）由于下列原因造成货物灭失、短少、变质、污染、损坏的，承运方不承担责任：①不可抗力；②货物本身的自然属性；③货物的合理损耗；④托运方或收货方自身的过错；</w:t>
      </w:r>
    </w:p>
    <w:p w14:paraId="17ABEB61">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十一、保险</w:t>
      </w:r>
      <w:bookmarkEnd w:id="298"/>
    </w:p>
    <w:p w14:paraId="687924C4">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（一）乙方承诺为所有参与本项目的服务人员办理意外伤害保险，并承担相应责任。</w:t>
      </w:r>
    </w:p>
    <w:p w14:paraId="6C2A9D4C">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（二）保险事故发生时，乙方有责任采取必要的措施减少损失。</w:t>
      </w:r>
    </w:p>
    <w:p w14:paraId="7F66AFCF">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lang w:val="en-US" w:eastAsia="zh-CN"/>
        </w:rPr>
      </w:pPr>
      <w:bookmarkStart w:id="299" w:name="_Toc17330"/>
      <w:r>
        <w:rPr>
          <w:rFonts w:hint="eastAsia" w:ascii="仿宋_GB2312" w:hAnsi="仿宋_GB2312" w:eastAsia="仿宋_GB2312" w:cs="仿宋_GB2312"/>
          <w:b/>
          <w:bCs/>
          <w:sz w:val="32"/>
          <w:szCs w:val="32"/>
          <w:highlight w:val="none"/>
          <w:lang w:val="en-US" w:eastAsia="zh-CN"/>
        </w:rPr>
        <w:t>十二、违约责任</w:t>
      </w:r>
      <w:bookmarkEnd w:id="299"/>
    </w:p>
    <w:p w14:paraId="33BD22C1">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（一）乙方为本项目开展服务工作的人员资格不符合要求的，甲方有权单方面解除合同，由此造成的损失由乙方承担。</w:t>
      </w:r>
    </w:p>
    <w:p w14:paraId="26A9B294">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（二）因乙方原因损坏现场设备或造成部分物品损坏的，乙方应赔偿全部损失，甲方有权从乙方服务费中扣除。</w:t>
      </w:r>
    </w:p>
    <w:p w14:paraId="1D213352">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（三）因乙方原因导致发生安全生产事故的，乙方应自行承担全部责任。</w:t>
      </w:r>
    </w:p>
    <w:p w14:paraId="45FA09F5">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（四）乙方未按合同约定服务的，每逾期一日应承担合同暂定总额1‰的违约金，逾期十五日仍未完工的，甲方有权解除合同并要求其承担合同总价款20%的违约金。</w:t>
      </w:r>
    </w:p>
    <w:p w14:paraId="71EBDF54">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（五）其余未明事项依照《中华人民共和国民法典》及相关民事法律、法规执行。</w:t>
      </w:r>
    </w:p>
    <w:p w14:paraId="4EB7FC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highlight w:val="none"/>
          <w:lang w:val="en-US" w:eastAsia="zh-CN"/>
        </w:rPr>
      </w:pPr>
      <w:bookmarkStart w:id="300" w:name="_Toc24599"/>
      <w:r>
        <w:rPr>
          <w:rFonts w:hint="eastAsia" w:ascii="仿宋_GB2312" w:hAnsi="仿宋_GB2312" w:eastAsia="仿宋_GB2312" w:cs="仿宋_GB2312"/>
          <w:b/>
          <w:bCs/>
          <w:sz w:val="32"/>
          <w:szCs w:val="32"/>
          <w:highlight w:val="none"/>
          <w:lang w:val="en-US" w:eastAsia="zh-CN"/>
        </w:rPr>
        <w:t>十三、不可抗力</w:t>
      </w:r>
      <w:bookmarkEnd w:id="300"/>
    </w:p>
    <w:p w14:paraId="42726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甲乙双方的任何一方由于不可抗力的原因不能履行合同时，应及时向对方通报不能履行或不能完全履行的理由，在取得有关证明以后，允许延期履行、部分履行或者不履行合同，并根据情况部分或全部免予承担违约责任。因一方延迟履行导致发生不可抗力事由的，不免除延迟履行方的责任。</w:t>
      </w:r>
    </w:p>
    <w:p w14:paraId="4DBEEE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（二）因政府主管部门、工程建设业主、监理单位出台的相关文件、市场准入规定造成合同不能执行，甲方不承担任何责任。</w:t>
      </w:r>
    </w:p>
    <w:p w14:paraId="46E2B6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highlight w:val="none"/>
          <w:lang w:val="en-US" w:eastAsia="zh-CN"/>
        </w:rPr>
      </w:pPr>
      <w:bookmarkStart w:id="301" w:name="_Toc6181"/>
      <w:r>
        <w:rPr>
          <w:rFonts w:hint="eastAsia" w:ascii="仿宋_GB2312" w:hAnsi="仿宋_GB2312" w:eastAsia="仿宋_GB2312" w:cs="仿宋_GB2312"/>
          <w:b/>
          <w:bCs/>
          <w:sz w:val="32"/>
          <w:szCs w:val="32"/>
          <w:highlight w:val="none"/>
          <w:lang w:val="en-US" w:eastAsia="zh-CN"/>
        </w:rPr>
        <w:t>十四、合同终止履行</w:t>
      </w:r>
      <w:bookmarkEnd w:id="301"/>
    </w:p>
    <w:p w14:paraId="1EC0DF83">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乙方在执行合同中出现下列任一行为均属违约行为，甲方可据此向乙方发出书面违约通知书，提出终止部分或全部合同的继续履行。</w:t>
      </w:r>
    </w:p>
    <w:p w14:paraId="5180CC77">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（一）以各种理由拒绝接收或完成甲方的运输计划。</w:t>
      </w:r>
    </w:p>
    <w:p w14:paraId="7724CD14">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（二）乙方不能保证服务导致甲方生产停滞。</w:t>
      </w:r>
    </w:p>
    <w:p w14:paraId="61C31C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highlight w:val="none"/>
          <w:lang w:val="en-US" w:eastAsia="zh-CN"/>
        </w:rPr>
      </w:pPr>
      <w:bookmarkStart w:id="302" w:name="_Toc1718"/>
      <w:r>
        <w:rPr>
          <w:rFonts w:hint="eastAsia" w:ascii="仿宋_GB2312" w:hAnsi="仿宋_GB2312" w:eastAsia="仿宋_GB2312" w:cs="仿宋_GB2312"/>
          <w:b/>
          <w:bCs/>
          <w:sz w:val="32"/>
          <w:szCs w:val="32"/>
          <w:highlight w:val="none"/>
          <w:lang w:val="en-US" w:eastAsia="zh-CN"/>
        </w:rPr>
        <w:t>十五、不可抗力</w:t>
      </w:r>
      <w:bookmarkEnd w:id="302"/>
    </w:p>
    <w:p w14:paraId="4C998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发生不可抗力事件时，声称受到不可抗力事件影响的一方应在2日内将不可抗力事件的发生通知另一方，并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55D685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highlight w:val="none"/>
          <w:lang w:val="en-US" w:eastAsia="zh-CN"/>
        </w:rPr>
      </w:pPr>
      <w:bookmarkStart w:id="303" w:name="_Toc31624"/>
      <w:r>
        <w:rPr>
          <w:rFonts w:hint="eastAsia" w:ascii="仿宋_GB2312" w:hAnsi="仿宋_GB2312" w:eastAsia="仿宋_GB2312" w:cs="仿宋_GB2312"/>
          <w:b/>
          <w:bCs/>
          <w:sz w:val="32"/>
          <w:szCs w:val="32"/>
          <w:highlight w:val="none"/>
          <w:lang w:val="en-US" w:eastAsia="zh-CN"/>
        </w:rPr>
        <w:t>十六、合同的转让和分包</w:t>
      </w:r>
      <w:bookmarkEnd w:id="303"/>
    </w:p>
    <w:p w14:paraId="60EE8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乙方不得将本合同范围内任何一部分以任何借口和形式转让或分包出去。</w:t>
      </w:r>
    </w:p>
    <w:p w14:paraId="32FFD31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争议解决</w:t>
      </w:r>
    </w:p>
    <w:p w14:paraId="0D0B4E8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本合同履行过程中出现的争议，双方应当友好协商解决。协商不成的，任何一方均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lang w:val="en-US" w:eastAsia="zh-CN"/>
        </w:rPr>
        <w:t>向甲方所在地有管辖权的人民法院提起诉讼。因诉讼产生的诉讼费、保全费、执行费、律师费、差旅费等实际发生的合理费用，由违约方承担</w:t>
      </w:r>
      <w:r>
        <w:rPr>
          <w:rFonts w:hint="eastAsia" w:ascii="仿宋_GB2312" w:hAnsi="仿宋_GB2312" w:eastAsia="仿宋_GB2312" w:cs="仿宋_GB2312"/>
          <w:sz w:val="32"/>
          <w:szCs w:val="32"/>
          <w:highlight w:val="none"/>
          <w:lang w:val="en-US" w:eastAsia="zh-CN"/>
        </w:rPr>
        <w:t>。</w:t>
      </w:r>
    </w:p>
    <w:p w14:paraId="2A83D9B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通知与送达</w:t>
      </w:r>
    </w:p>
    <w:p w14:paraId="7A592B4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双方一致确认本合同中记载的各方联系地址和方式为各方履行合同、解决争议时向对方交送文件信函、通知或司法机关向各方送达诉讼文书的有效地址和联系方式。</w:t>
      </w:r>
    </w:p>
    <w:p w14:paraId="4EAD37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highlight w:val="none"/>
          <w:lang w:val="en-US" w:eastAsia="zh-CN"/>
        </w:rPr>
      </w:pPr>
      <w:bookmarkStart w:id="304" w:name="_Toc3446"/>
      <w:r>
        <w:rPr>
          <w:rFonts w:hint="eastAsia" w:ascii="仿宋_GB2312" w:hAnsi="仿宋_GB2312" w:eastAsia="仿宋_GB2312" w:cs="仿宋_GB2312"/>
          <w:b/>
          <w:bCs/>
          <w:sz w:val="32"/>
          <w:szCs w:val="32"/>
          <w:highlight w:val="none"/>
          <w:lang w:val="en-US" w:eastAsia="zh-CN"/>
        </w:rPr>
        <w:t>十九、附则</w:t>
      </w:r>
      <w:bookmarkEnd w:id="304"/>
    </w:p>
    <w:p w14:paraId="3DF21F75">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（一）本合同经双方签字盖章后生效。合同履行过程中需要进一步约定合同条款的，可由双方协商后签订补充协议，补充协议和本合同具有同等法律效力。</w:t>
      </w:r>
    </w:p>
    <w:p w14:paraId="492FD0FA">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（二）本合同一式</w:t>
      </w:r>
      <w:r>
        <w:rPr>
          <w:rFonts w:hint="eastAsia" w:ascii="仿宋_GB2312" w:hAnsi="仿宋_GB2312" w:eastAsia="仿宋_GB2312" w:cs="仿宋_GB2312"/>
          <w:sz w:val="32"/>
          <w:szCs w:val="32"/>
          <w:highlight w:val="none"/>
          <w:u w:val="single"/>
          <w:lang w:val="en-US" w:eastAsia="zh-CN"/>
        </w:rPr>
        <w:t>捌</w:t>
      </w:r>
      <w:r>
        <w:rPr>
          <w:rFonts w:hint="eastAsia" w:ascii="仿宋_GB2312" w:hAnsi="仿宋_GB2312" w:eastAsia="仿宋_GB2312" w:cs="仿宋_GB2312"/>
          <w:sz w:val="32"/>
          <w:szCs w:val="32"/>
          <w:highlight w:val="none"/>
          <w:lang w:val="en-US" w:eastAsia="zh-CN"/>
        </w:rPr>
        <w:t>份，甲乙方各执</w:t>
      </w:r>
      <w:r>
        <w:rPr>
          <w:rFonts w:hint="eastAsia" w:ascii="仿宋_GB2312" w:hAnsi="仿宋_GB2312" w:eastAsia="仿宋_GB2312" w:cs="仿宋_GB2312"/>
          <w:sz w:val="32"/>
          <w:szCs w:val="32"/>
          <w:highlight w:val="none"/>
          <w:u w:val="single"/>
          <w:lang w:val="en-US" w:eastAsia="zh-CN"/>
        </w:rPr>
        <w:t>肆</w:t>
      </w:r>
      <w:r>
        <w:rPr>
          <w:rFonts w:hint="eastAsia" w:ascii="仿宋_GB2312" w:hAnsi="仿宋_GB2312" w:eastAsia="仿宋_GB2312" w:cs="仿宋_GB2312"/>
          <w:sz w:val="32"/>
          <w:szCs w:val="32"/>
          <w:highlight w:val="none"/>
          <w:lang w:val="en-US" w:eastAsia="zh-CN"/>
        </w:rPr>
        <w:t>份，具有同等法律效力。</w:t>
      </w:r>
    </w:p>
    <w:bookmarkEnd w:id="287"/>
    <w:bookmarkEnd w:id="288"/>
    <w:bookmarkEnd w:id="289"/>
    <w:bookmarkEnd w:id="290"/>
    <w:bookmarkEnd w:id="291"/>
    <w:bookmarkEnd w:id="292"/>
    <w:p w14:paraId="1AA5674F">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highlight w:val="none"/>
        </w:rPr>
      </w:pP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14:paraId="3B5E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4530" w:type="dxa"/>
          </w:tcPr>
          <w:p w14:paraId="2573B55A">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甲方（盖章）：</w:t>
            </w:r>
          </w:p>
          <w:p w14:paraId="07629759">
            <w:pPr>
              <w:pStyle w:val="13"/>
              <w:rPr>
                <w:rFonts w:hint="eastAsia" w:ascii="仿宋_GB2312" w:hAnsi="仿宋_GB2312" w:eastAsia="仿宋_GB2312" w:cs="仿宋_GB2312"/>
                <w:sz w:val="32"/>
                <w:szCs w:val="32"/>
                <w:highlight w:val="none"/>
              </w:rPr>
            </w:pPr>
          </w:p>
        </w:tc>
        <w:tc>
          <w:tcPr>
            <w:tcW w:w="4530" w:type="dxa"/>
          </w:tcPr>
          <w:p w14:paraId="630113B6">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w:t>
            </w:r>
          </w:p>
        </w:tc>
      </w:tr>
      <w:tr w14:paraId="2045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Pr>
          <w:p w14:paraId="24401405">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法人/授权代表（签字）：</w:t>
            </w:r>
          </w:p>
          <w:p w14:paraId="50EC6A40">
            <w:pPr>
              <w:pStyle w:val="13"/>
              <w:rPr>
                <w:rFonts w:hint="eastAsia" w:ascii="仿宋_GB2312" w:hAnsi="仿宋_GB2312" w:eastAsia="仿宋_GB2312" w:cs="仿宋_GB2312"/>
                <w:color w:val="000000"/>
                <w:kern w:val="0"/>
                <w:sz w:val="32"/>
                <w:szCs w:val="32"/>
                <w:highlight w:val="none"/>
              </w:rPr>
            </w:pPr>
          </w:p>
        </w:tc>
        <w:tc>
          <w:tcPr>
            <w:tcW w:w="4530" w:type="dxa"/>
          </w:tcPr>
          <w:p w14:paraId="494CBEEF">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法人/授权代表（签字）：</w:t>
            </w:r>
          </w:p>
        </w:tc>
      </w:tr>
      <w:tr w14:paraId="10AA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2E66069C">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tc>
        <w:tc>
          <w:tcPr>
            <w:tcW w:w="4530" w:type="dxa"/>
          </w:tcPr>
          <w:p w14:paraId="1B185CC0">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tc>
      </w:tr>
      <w:bookmarkEnd w:id="277"/>
    </w:tbl>
    <w:p w14:paraId="1C6F587A">
      <w:pPr>
        <w:pageBreakBefore/>
        <w:spacing w:line="560" w:lineRule="atLeast"/>
        <w:jc w:val="center"/>
        <w:outlineLvl w:val="0"/>
        <w:rPr>
          <w:rFonts w:hint="eastAsia" w:ascii="黑体" w:hAnsi="黑体" w:eastAsia="黑体" w:cs="黑体"/>
          <w:sz w:val="44"/>
          <w:szCs w:val="44"/>
          <w:highlight w:val="none"/>
        </w:rPr>
      </w:pPr>
      <w:bookmarkStart w:id="305" w:name="_Toc122257625"/>
      <w:bookmarkStart w:id="306" w:name="_Toc20816"/>
      <w:bookmarkStart w:id="307" w:name="_Toc29038"/>
      <w:bookmarkStart w:id="308" w:name="_Toc24961"/>
      <w:bookmarkStart w:id="309" w:name="_Toc12462"/>
      <w:bookmarkStart w:id="310" w:name="_Toc4760"/>
      <w:bookmarkStart w:id="311" w:name="_Toc26998"/>
      <w:bookmarkStart w:id="312" w:name="_Toc122750651"/>
      <w:bookmarkStart w:id="313" w:name="_Toc7999"/>
      <w:bookmarkStart w:id="314" w:name="_Toc19739"/>
      <w:bookmarkStart w:id="315" w:name="_Toc8079"/>
      <w:r>
        <w:rPr>
          <w:rFonts w:hint="eastAsia" w:ascii="黑体" w:hAnsi="黑体" w:eastAsia="黑体" w:cs="黑体"/>
          <w:sz w:val="44"/>
          <w:szCs w:val="44"/>
          <w:highlight w:val="none"/>
        </w:rPr>
        <w:t>第七篇</w:t>
      </w:r>
      <w:bookmarkEnd w:id="305"/>
      <w:r>
        <w:rPr>
          <w:rFonts w:hint="eastAsia" w:ascii="黑体" w:hAnsi="黑体" w:eastAsia="黑体" w:cs="黑体"/>
          <w:sz w:val="44"/>
          <w:szCs w:val="44"/>
          <w:highlight w:val="none"/>
        </w:rPr>
        <w:t xml:space="preserve">  响应文件格式</w:t>
      </w:r>
      <w:bookmarkEnd w:id="306"/>
      <w:bookmarkEnd w:id="307"/>
      <w:bookmarkEnd w:id="308"/>
      <w:bookmarkEnd w:id="309"/>
      <w:bookmarkEnd w:id="310"/>
      <w:bookmarkEnd w:id="311"/>
      <w:bookmarkEnd w:id="312"/>
      <w:bookmarkEnd w:id="313"/>
      <w:bookmarkEnd w:id="314"/>
      <w:bookmarkEnd w:id="315"/>
    </w:p>
    <w:p w14:paraId="2A2E1676">
      <w:pPr>
        <w:pageBreakBefore/>
        <w:spacing w:line="560" w:lineRule="exact"/>
        <w:jc w:val="center"/>
        <w:rPr>
          <w:rFonts w:ascii="仿宋_GB2312" w:eastAsia="仿宋_GB2312"/>
          <w:bCs/>
          <w:sz w:val="44"/>
          <w:szCs w:val="44"/>
          <w:highlight w:val="none"/>
        </w:rPr>
      </w:pPr>
      <w:r>
        <w:rPr>
          <w:rFonts w:hint="eastAsia" w:ascii="仿宋_GB2312" w:eastAsia="仿宋_GB2312"/>
          <w:bCs/>
          <w:sz w:val="44"/>
          <w:szCs w:val="44"/>
          <w:highlight w:val="none"/>
        </w:rPr>
        <w:t>（响应文件包封封面）</w:t>
      </w:r>
    </w:p>
    <w:p w14:paraId="096FBB5D">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rPr>
        <w:t xml:space="preserve"> </w:t>
      </w:r>
    </w:p>
    <w:p w14:paraId="1E73999B">
      <w:pPr>
        <w:spacing w:line="560" w:lineRule="exact"/>
        <w:jc w:val="center"/>
        <w:rPr>
          <w:rFonts w:ascii="仿宋_GB2312" w:eastAsia="仿宋_GB2312"/>
          <w:b/>
          <w:sz w:val="44"/>
          <w:szCs w:val="44"/>
          <w:highlight w:val="none"/>
        </w:rPr>
      </w:pPr>
    </w:p>
    <w:p w14:paraId="450FEB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2025-2026年度物流运输服务</w:t>
      </w:r>
    </w:p>
    <w:p w14:paraId="065119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r>
        <w:rPr>
          <w:rFonts w:hint="eastAsia" w:ascii="仿宋_GB2312" w:hAnsi="仿宋_GB2312" w:eastAsia="仿宋_GB2312" w:cs="仿宋_GB2312"/>
          <w:b/>
          <w:bCs/>
          <w:sz w:val="44"/>
          <w:szCs w:val="44"/>
        </w:rPr>
        <w:t>询价采购</w:t>
      </w:r>
    </w:p>
    <w:p w14:paraId="7CDCCDCA">
      <w:pPr>
        <w:spacing w:line="560" w:lineRule="exact"/>
        <w:jc w:val="center"/>
        <w:rPr>
          <w:rFonts w:ascii="仿宋_GB2312" w:eastAsia="仿宋_GB2312"/>
          <w:b/>
          <w:sz w:val="44"/>
          <w:szCs w:val="44"/>
          <w:highlight w:val="none"/>
        </w:rPr>
      </w:pPr>
    </w:p>
    <w:p w14:paraId="2D2322C8">
      <w:pPr>
        <w:spacing w:line="560" w:lineRule="exact"/>
        <w:jc w:val="center"/>
        <w:rPr>
          <w:rFonts w:ascii="仿宋_GB2312" w:eastAsia="仿宋_GB2312"/>
          <w:b/>
          <w:sz w:val="44"/>
          <w:szCs w:val="44"/>
          <w:highlight w:val="none"/>
        </w:rPr>
      </w:pPr>
    </w:p>
    <w:p w14:paraId="37FA1E8F">
      <w:pPr>
        <w:spacing w:line="560" w:lineRule="exact"/>
        <w:jc w:val="center"/>
        <w:rPr>
          <w:rFonts w:ascii="仿宋_GB2312" w:eastAsia="仿宋_GB2312"/>
          <w:b/>
          <w:sz w:val="44"/>
          <w:szCs w:val="44"/>
          <w:highlight w:val="none"/>
        </w:rPr>
      </w:pPr>
    </w:p>
    <w:p w14:paraId="11732DDE">
      <w:pPr>
        <w:spacing w:line="560" w:lineRule="exact"/>
        <w:jc w:val="center"/>
        <w:rPr>
          <w:rFonts w:ascii="仿宋_GB2312" w:eastAsia="仿宋_GB2312"/>
          <w:b/>
          <w:sz w:val="44"/>
          <w:szCs w:val="44"/>
          <w:highlight w:val="none"/>
        </w:rPr>
      </w:pPr>
    </w:p>
    <w:p w14:paraId="0AB34FEE">
      <w:pPr>
        <w:spacing w:line="560" w:lineRule="exact"/>
        <w:jc w:val="center"/>
        <w:rPr>
          <w:rFonts w:ascii="仿宋_GB2312" w:eastAsia="仿宋_GB2312"/>
          <w:b/>
          <w:sz w:val="44"/>
          <w:szCs w:val="44"/>
          <w:highlight w:val="none"/>
        </w:rPr>
      </w:pPr>
    </w:p>
    <w:p w14:paraId="7F48A17C">
      <w:pPr>
        <w:pStyle w:val="13"/>
        <w:rPr>
          <w:rFonts w:ascii="仿宋_GB2312" w:eastAsia="仿宋_GB2312"/>
          <w:b/>
          <w:sz w:val="44"/>
          <w:szCs w:val="44"/>
          <w:highlight w:val="none"/>
        </w:rPr>
      </w:pPr>
    </w:p>
    <w:p w14:paraId="4F5B6E53">
      <w:pPr>
        <w:pStyle w:val="13"/>
        <w:rPr>
          <w:rFonts w:ascii="仿宋_GB2312" w:eastAsia="仿宋_GB2312"/>
          <w:b/>
          <w:sz w:val="44"/>
          <w:szCs w:val="44"/>
          <w:highlight w:val="none"/>
        </w:rPr>
      </w:pPr>
    </w:p>
    <w:p w14:paraId="7B9E706C">
      <w:pPr>
        <w:pStyle w:val="13"/>
        <w:rPr>
          <w:rFonts w:ascii="仿宋_GB2312" w:eastAsia="仿宋_GB2312"/>
          <w:b/>
          <w:sz w:val="44"/>
          <w:szCs w:val="44"/>
          <w:highlight w:val="none"/>
        </w:rPr>
      </w:pPr>
    </w:p>
    <w:p w14:paraId="1C0E0C5E">
      <w:pPr>
        <w:spacing w:line="560" w:lineRule="exact"/>
        <w:jc w:val="center"/>
        <w:rPr>
          <w:rFonts w:ascii="仿宋_GB2312" w:eastAsia="仿宋_GB2312"/>
          <w:b/>
          <w:sz w:val="44"/>
          <w:szCs w:val="44"/>
          <w:highlight w:val="none"/>
        </w:rPr>
      </w:pPr>
    </w:p>
    <w:p w14:paraId="61FD40BF">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rPr>
        <w:t>响应文件</w:t>
      </w:r>
    </w:p>
    <w:p w14:paraId="4BA9CDFB">
      <w:pPr>
        <w:spacing w:line="560" w:lineRule="exact"/>
        <w:jc w:val="center"/>
        <w:rPr>
          <w:rFonts w:ascii="仿宋_GB2312" w:eastAsia="仿宋_GB2312"/>
          <w:b/>
          <w:sz w:val="32"/>
          <w:szCs w:val="32"/>
          <w:highlight w:val="none"/>
        </w:rPr>
      </w:pPr>
    </w:p>
    <w:p w14:paraId="4C4FF3EB">
      <w:pPr>
        <w:spacing w:line="560" w:lineRule="exact"/>
        <w:jc w:val="center"/>
        <w:rPr>
          <w:rFonts w:ascii="仿宋_GB2312" w:eastAsia="仿宋_GB2312"/>
          <w:b/>
          <w:sz w:val="32"/>
          <w:szCs w:val="32"/>
          <w:highlight w:val="none"/>
        </w:rPr>
      </w:pPr>
    </w:p>
    <w:p w14:paraId="324D6121">
      <w:pPr>
        <w:spacing w:line="560" w:lineRule="exact"/>
        <w:jc w:val="center"/>
        <w:rPr>
          <w:rFonts w:ascii="仿宋_GB2312" w:eastAsia="仿宋_GB2312"/>
          <w:b/>
          <w:sz w:val="32"/>
          <w:szCs w:val="32"/>
          <w:highlight w:val="none"/>
        </w:rPr>
      </w:pPr>
    </w:p>
    <w:p w14:paraId="5D93F1E6">
      <w:pPr>
        <w:spacing w:line="560" w:lineRule="exact"/>
        <w:jc w:val="center"/>
        <w:rPr>
          <w:rFonts w:ascii="仿宋_GB2312" w:eastAsia="仿宋_GB2312"/>
          <w:b/>
          <w:sz w:val="32"/>
          <w:szCs w:val="32"/>
          <w:highlight w:val="none"/>
        </w:rPr>
      </w:pPr>
    </w:p>
    <w:p w14:paraId="0FB3E644">
      <w:pPr>
        <w:spacing w:line="560" w:lineRule="exact"/>
        <w:jc w:val="center"/>
        <w:rPr>
          <w:rFonts w:ascii="仿宋_GB2312" w:eastAsia="仿宋_GB2312"/>
          <w:b/>
          <w:sz w:val="32"/>
          <w:szCs w:val="32"/>
          <w:highlight w:val="none"/>
        </w:rPr>
      </w:pPr>
    </w:p>
    <w:p w14:paraId="03956CCA">
      <w:pPr>
        <w:spacing w:line="560" w:lineRule="exact"/>
        <w:jc w:val="center"/>
        <w:rPr>
          <w:rFonts w:ascii="仿宋_GB2312" w:eastAsia="仿宋_GB2312"/>
          <w:b/>
          <w:sz w:val="32"/>
          <w:szCs w:val="32"/>
          <w:highlight w:val="none"/>
        </w:rPr>
      </w:pPr>
      <w:r>
        <w:rPr>
          <w:rFonts w:hint="eastAsia" w:ascii="仿宋_GB2312" w:eastAsia="仿宋_GB2312"/>
          <w:b/>
          <w:sz w:val="32"/>
          <w:szCs w:val="32"/>
          <w:highlight w:val="none"/>
        </w:rPr>
        <w:t>供应商：</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 xml:space="preserve"> （单位名称加盖公章）</w:t>
      </w:r>
    </w:p>
    <w:p w14:paraId="167B29B2">
      <w:pPr>
        <w:spacing w:line="560" w:lineRule="exact"/>
        <w:jc w:val="center"/>
        <w:rPr>
          <w:rFonts w:ascii="仿宋_GB2312" w:eastAsia="仿宋_GB2312"/>
          <w:b/>
          <w:sz w:val="32"/>
          <w:szCs w:val="32"/>
          <w:highlight w:val="none"/>
        </w:rPr>
      </w:pPr>
      <w:r>
        <w:rPr>
          <w:rFonts w:hint="eastAsia" w:ascii="仿宋_GB2312" w:eastAsia="仿宋_GB2312"/>
          <w:b/>
          <w:sz w:val="32"/>
          <w:szCs w:val="32"/>
          <w:highlight w:val="none"/>
        </w:rPr>
        <w:t>日  期：2025年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p>
    <w:p w14:paraId="0DFB60DE">
      <w:pPr>
        <w:spacing w:line="560" w:lineRule="exact"/>
        <w:rPr>
          <w:rFonts w:ascii="仿宋_GB2312" w:eastAsia="仿宋_GB2312"/>
          <w:sz w:val="32"/>
          <w:szCs w:val="32"/>
          <w:highlight w:val="none"/>
        </w:rPr>
      </w:pPr>
    </w:p>
    <w:p w14:paraId="7FBFD7E5">
      <w:pPr>
        <w:spacing w:line="560" w:lineRule="exact"/>
        <w:rPr>
          <w:rFonts w:ascii="仿宋_GB2312" w:eastAsia="仿宋_GB2312"/>
          <w:sz w:val="32"/>
          <w:szCs w:val="32"/>
          <w:highlight w:val="none"/>
        </w:rPr>
      </w:pPr>
    </w:p>
    <w:p w14:paraId="4E436390">
      <w:pPr>
        <w:spacing w:line="560" w:lineRule="exact"/>
        <w:rPr>
          <w:rFonts w:ascii="仿宋_GB2312" w:eastAsia="仿宋_GB2312"/>
          <w:sz w:val="32"/>
          <w:szCs w:val="32"/>
          <w:highlight w:val="none"/>
        </w:rPr>
      </w:pPr>
    </w:p>
    <w:p w14:paraId="64C2312F">
      <w:pPr>
        <w:pageBreakBefore/>
        <w:spacing w:line="560" w:lineRule="exact"/>
        <w:jc w:val="center"/>
        <w:rPr>
          <w:rFonts w:ascii="仿宋_GB2312" w:eastAsia="仿宋_GB2312"/>
          <w:bCs/>
          <w:sz w:val="44"/>
          <w:szCs w:val="44"/>
          <w:highlight w:val="none"/>
        </w:rPr>
      </w:pPr>
      <w:r>
        <w:rPr>
          <w:rFonts w:hint="eastAsia" w:ascii="仿宋_GB2312" w:eastAsia="仿宋_GB2312"/>
          <w:bCs/>
          <w:sz w:val="44"/>
          <w:szCs w:val="44"/>
          <w:highlight w:val="none"/>
        </w:rPr>
        <w:t>（响应文件封面）</w:t>
      </w:r>
    </w:p>
    <w:p w14:paraId="08E5BF67">
      <w:pPr>
        <w:spacing w:line="560" w:lineRule="exact"/>
        <w:jc w:val="center"/>
        <w:rPr>
          <w:rFonts w:ascii="仿宋_GB2312" w:eastAsia="仿宋_GB2312"/>
          <w:b/>
          <w:sz w:val="44"/>
          <w:szCs w:val="44"/>
          <w:highlight w:val="none"/>
        </w:rPr>
      </w:pPr>
    </w:p>
    <w:p w14:paraId="3F9F73EC">
      <w:pPr>
        <w:spacing w:line="560" w:lineRule="exact"/>
        <w:jc w:val="center"/>
        <w:rPr>
          <w:rFonts w:ascii="仿宋_GB2312" w:eastAsia="仿宋_GB2312"/>
          <w:b/>
          <w:sz w:val="44"/>
          <w:szCs w:val="44"/>
          <w:highlight w:val="none"/>
        </w:rPr>
      </w:pPr>
    </w:p>
    <w:p w14:paraId="202E14E0">
      <w:pPr>
        <w:spacing w:line="560" w:lineRule="exact"/>
        <w:jc w:val="center"/>
        <w:rPr>
          <w:rFonts w:hint="eastAsia" w:ascii="仿宋_GB2312" w:eastAsia="仿宋_GB2312"/>
          <w:b/>
          <w:sz w:val="44"/>
          <w:szCs w:val="44"/>
          <w:highlight w:val="none"/>
          <w:lang w:eastAsia="zh-CN"/>
        </w:rPr>
      </w:pPr>
      <w:r>
        <w:rPr>
          <w:rFonts w:hint="eastAsia" w:ascii="仿宋_GB2312" w:eastAsia="仿宋_GB2312"/>
          <w:b/>
          <w:sz w:val="44"/>
          <w:szCs w:val="44"/>
          <w:highlight w:val="none"/>
          <w:lang w:eastAsia="zh-CN"/>
        </w:rPr>
        <w:t>2025-2026年度物流运输服务</w:t>
      </w:r>
    </w:p>
    <w:p w14:paraId="632EE9BE">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rPr>
        <w:t>询价采购</w:t>
      </w:r>
    </w:p>
    <w:p w14:paraId="19CA0308">
      <w:pPr>
        <w:spacing w:line="560" w:lineRule="exact"/>
        <w:jc w:val="center"/>
        <w:rPr>
          <w:rFonts w:ascii="仿宋_GB2312" w:eastAsia="仿宋_GB2312"/>
          <w:b/>
          <w:sz w:val="44"/>
          <w:szCs w:val="44"/>
          <w:highlight w:val="none"/>
        </w:rPr>
      </w:pPr>
    </w:p>
    <w:p w14:paraId="75E2F7AF">
      <w:pPr>
        <w:spacing w:line="560" w:lineRule="exact"/>
        <w:jc w:val="center"/>
        <w:rPr>
          <w:rFonts w:ascii="仿宋_GB2312" w:eastAsia="仿宋_GB2312"/>
          <w:b/>
          <w:sz w:val="44"/>
          <w:szCs w:val="44"/>
          <w:highlight w:val="none"/>
        </w:rPr>
      </w:pPr>
    </w:p>
    <w:p w14:paraId="1F44F41B">
      <w:pPr>
        <w:spacing w:line="560" w:lineRule="exact"/>
        <w:jc w:val="center"/>
        <w:rPr>
          <w:rFonts w:ascii="仿宋_GB2312" w:eastAsia="仿宋_GB2312"/>
          <w:b/>
          <w:sz w:val="44"/>
          <w:szCs w:val="44"/>
          <w:highlight w:val="none"/>
        </w:rPr>
      </w:pPr>
    </w:p>
    <w:p w14:paraId="33556948">
      <w:pPr>
        <w:spacing w:line="560" w:lineRule="exact"/>
        <w:jc w:val="center"/>
        <w:rPr>
          <w:rFonts w:ascii="仿宋_GB2312" w:eastAsia="仿宋_GB2312"/>
          <w:b/>
          <w:sz w:val="44"/>
          <w:szCs w:val="44"/>
          <w:highlight w:val="none"/>
        </w:rPr>
      </w:pPr>
    </w:p>
    <w:p w14:paraId="6EB4AED8">
      <w:pPr>
        <w:spacing w:line="560" w:lineRule="exact"/>
        <w:jc w:val="center"/>
        <w:rPr>
          <w:rFonts w:ascii="仿宋_GB2312" w:eastAsia="仿宋_GB2312"/>
          <w:b/>
          <w:sz w:val="44"/>
          <w:szCs w:val="44"/>
          <w:highlight w:val="none"/>
        </w:rPr>
      </w:pPr>
    </w:p>
    <w:p w14:paraId="24A47D72">
      <w:pPr>
        <w:spacing w:line="560" w:lineRule="exact"/>
        <w:jc w:val="center"/>
        <w:rPr>
          <w:rFonts w:ascii="仿宋_GB2312" w:eastAsia="仿宋_GB2312"/>
          <w:b/>
          <w:sz w:val="44"/>
          <w:szCs w:val="44"/>
          <w:highlight w:val="none"/>
        </w:rPr>
      </w:pPr>
    </w:p>
    <w:p w14:paraId="556D4452">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rPr>
        <w:t>响应文件</w:t>
      </w:r>
    </w:p>
    <w:p w14:paraId="5BE2E9AF">
      <w:pPr>
        <w:spacing w:line="560" w:lineRule="exact"/>
        <w:jc w:val="center"/>
        <w:rPr>
          <w:rFonts w:ascii="仿宋_GB2312" w:eastAsia="仿宋_GB2312"/>
          <w:b/>
          <w:sz w:val="32"/>
          <w:szCs w:val="32"/>
          <w:highlight w:val="none"/>
        </w:rPr>
      </w:pPr>
    </w:p>
    <w:p w14:paraId="2B2BCDFF">
      <w:pPr>
        <w:spacing w:line="560" w:lineRule="exact"/>
        <w:jc w:val="center"/>
        <w:rPr>
          <w:rFonts w:ascii="仿宋_GB2312" w:eastAsia="仿宋_GB2312"/>
          <w:b/>
          <w:sz w:val="32"/>
          <w:szCs w:val="32"/>
          <w:highlight w:val="none"/>
        </w:rPr>
      </w:pPr>
    </w:p>
    <w:p w14:paraId="4A8A66EF">
      <w:pPr>
        <w:spacing w:line="560" w:lineRule="exact"/>
        <w:jc w:val="center"/>
        <w:rPr>
          <w:rFonts w:ascii="仿宋_GB2312" w:eastAsia="仿宋_GB2312"/>
          <w:b/>
          <w:sz w:val="32"/>
          <w:szCs w:val="32"/>
          <w:highlight w:val="none"/>
        </w:rPr>
      </w:pPr>
    </w:p>
    <w:p w14:paraId="3A9BBA9D">
      <w:pPr>
        <w:spacing w:line="560" w:lineRule="exact"/>
        <w:jc w:val="center"/>
        <w:rPr>
          <w:rFonts w:ascii="仿宋_GB2312" w:eastAsia="仿宋_GB2312"/>
          <w:b/>
          <w:sz w:val="32"/>
          <w:szCs w:val="32"/>
          <w:highlight w:val="none"/>
        </w:rPr>
      </w:pPr>
    </w:p>
    <w:p w14:paraId="0352E012">
      <w:pPr>
        <w:spacing w:line="560" w:lineRule="exact"/>
        <w:jc w:val="center"/>
        <w:rPr>
          <w:rFonts w:ascii="仿宋_GB2312" w:eastAsia="仿宋_GB2312"/>
          <w:b/>
          <w:sz w:val="32"/>
          <w:szCs w:val="32"/>
          <w:highlight w:val="none"/>
        </w:rPr>
      </w:pPr>
    </w:p>
    <w:p w14:paraId="1D6ACD83">
      <w:pPr>
        <w:spacing w:line="560" w:lineRule="exact"/>
        <w:jc w:val="center"/>
        <w:rPr>
          <w:rFonts w:ascii="仿宋_GB2312" w:eastAsia="仿宋_GB2312"/>
          <w:b/>
          <w:sz w:val="32"/>
          <w:szCs w:val="32"/>
          <w:highlight w:val="none"/>
        </w:rPr>
      </w:pPr>
      <w:r>
        <w:rPr>
          <w:rFonts w:hint="eastAsia" w:ascii="仿宋_GB2312" w:eastAsia="仿宋_GB2312"/>
          <w:b/>
          <w:sz w:val="32"/>
          <w:szCs w:val="32"/>
          <w:highlight w:val="none"/>
        </w:rPr>
        <w:t>供应商：</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 xml:space="preserve"> （单位名称加盖公章）</w:t>
      </w:r>
    </w:p>
    <w:p w14:paraId="255ACC32">
      <w:pPr>
        <w:spacing w:line="560" w:lineRule="exact"/>
        <w:jc w:val="center"/>
        <w:rPr>
          <w:rFonts w:ascii="仿宋_GB2312" w:eastAsia="仿宋_GB2312"/>
          <w:b/>
          <w:sz w:val="32"/>
          <w:szCs w:val="32"/>
          <w:highlight w:val="none"/>
        </w:rPr>
      </w:pPr>
      <w:r>
        <w:rPr>
          <w:rFonts w:hint="eastAsia" w:ascii="仿宋_GB2312" w:eastAsia="仿宋_GB2312"/>
          <w:b/>
          <w:sz w:val="32"/>
          <w:szCs w:val="32"/>
          <w:highlight w:val="none"/>
        </w:rPr>
        <w:t>日  期：2025年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p>
    <w:p w14:paraId="27586E16">
      <w:pPr>
        <w:spacing w:line="560" w:lineRule="exact"/>
        <w:rPr>
          <w:rFonts w:ascii="仿宋_GB2312" w:eastAsia="仿宋_GB2312"/>
          <w:sz w:val="32"/>
          <w:szCs w:val="32"/>
          <w:highlight w:val="none"/>
        </w:rPr>
      </w:pPr>
    </w:p>
    <w:p w14:paraId="4DE52A10">
      <w:pPr>
        <w:pageBreakBefore/>
        <w:jc w:val="center"/>
        <w:outlineLvl w:val="9"/>
        <w:rPr>
          <w:rFonts w:ascii="仿宋_GB2312" w:hAnsi="仿宋_GB2312" w:eastAsia="仿宋_GB2312" w:cs="仿宋_GB2312"/>
          <w:b/>
          <w:bCs/>
          <w:kern w:val="44"/>
          <w:sz w:val="44"/>
          <w:szCs w:val="44"/>
          <w:highlight w:val="none"/>
        </w:rPr>
      </w:pPr>
      <w:bookmarkStart w:id="316" w:name="_Toc9836"/>
      <w:bookmarkStart w:id="317" w:name="_Toc13593"/>
      <w:bookmarkStart w:id="318" w:name="_Toc17844"/>
      <w:bookmarkStart w:id="319" w:name="_Toc3952"/>
      <w:bookmarkStart w:id="320" w:name="_Toc19149"/>
      <w:bookmarkStart w:id="321" w:name="_Toc30065"/>
      <w:bookmarkStart w:id="322" w:name="_Toc27854"/>
      <w:bookmarkStart w:id="323" w:name="_Toc28750"/>
      <w:bookmarkStart w:id="324" w:name="_Toc23879"/>
      <w:bookmarkStart w:id="325" w:name="_Toc9582"/>
      <w:bookmarkStart w:id="326" w:name="_Toc29472"/>
      <w:bookmarkStart w:id="327" w:name="_Toc31436"/>
      <w:bookmarkStart w:id="328" w:name="_Toc31235"/>
      <w:r>
        <w:rPr>
          <w:rFonts w:hint="eastAsia" w:ascii="仿宋_GB2312" w:hAnsi="仿宋_GB2312" w:eastAsia="仿宋_GB2312" w:cs="仿宋_GB2312"/>
          <w:b/>
          <w:bCs/>
          <w:kern w:val="44"/>
          <w:sz w:val="44"/>
          <w:szCs w:val="44"/>
          <w:highlight w:val="none"/>
        </w:rPr>
        <w:t>目</w:t>
      </w:r>
      <w:r>
        <w:rPr>
          <w:rFonts w:ascii="仿宋_GB2312" w:hAnsi="仿宋_GB2312" w:eastAsia="仿宋_GB2312" w:cs="仿宋_GB2312"/>
          <w:b/>
          <w:bCs/>
          <w:kern w:val="44"/>
          <w:sz w:val="44"/>
          <w:szCs w:val="44"/>
          <w:highlight w:val="none"/>
        </w:rPr>
        <w:t xml:space="preserve">  </w:t>
      </w:r>
      <w:r>
        <w:rPr>
          <w:rFonts w:hint="eastAsia" w:ascii="仿宋_GB2312" w:hAnsi="仿宋_GB2312" w:eastAsia="仿宋_GB2312" w:cs="仿宋_GB2312"/>
          <w:b/>
          <w:bCs/>
          <w:kern w:val="44"/>
          <w:sz w:val="44"/>
          <w:szCs w:val="44"/>
          <w:highlight w:val="none"/>
        </w:rPr>
        <w:t>录</w:t>
      </w:r>
      <w:bookmarkEnd w:id="316"/>
      <w:bookmarkEnd w:id="317"/>
      <w:bookmarkEnd w:id="318"/>
      <w:bookmarkEnd w:id="319"/>
      <w:bookmarkEnd w:id="320"/>
      <w:bookmarkEnd w:id="321"/>
      <w:bookmarkEnd w:id="322"/>
      <w:bookmarkEnd w:id="323"/>
      <w:bookmarkEnd w:id="324"/>
      <w:bookmarkEnd w:id="325"/>
      <w:bookmarkEnd w:id="326"/>
      <w:bookmarkEnd w:id="327"/>
      <w:bookmarkEnd w:id="328"/>
    </w:p>
    <w:p w14:paraId="6B8B743D">
      <w:pPr>
        <w:spacing w:line="560" w:lineRule="exact"/>
        <w:rPr>
          <w:rFonts w:ascii="仿宋_GB2312" w:eastAsia="仿宋_GB2312"/>
          <w:sz w:val="32"/>
          <w:szCs w:val="32"/>
          <w:highlight w:val="none"/>
        </w:rPr>
      </w:pPr>
    </w:p>
    <w:p w14:paraId="5FF72C7D">
      <w:pPr>
        <w:spacing w:line="560" w:lineRule="exact"/>
        <w:rPr>
          <w:rFonts w:ascii="仿宋_GB2312" w:eastAsia="仿宋_GB2312"/>
          <w:sz w:val="32"/>
          <w:szCs w:val="32"/>
          <w:highlight w:val="none"/>
        </w:rPr>
      </w:pPr>
      <w:r>
        <w:rPr>
          <w:rFonts w:hint="eastAsia" w:ascii="仿宋_GB2312" w:eastAsia="仿宋_GB2312"/>
          <w:sz w:val="32"/>
          <w:szCs w:val="32"/>
          <w:highlight w:val="none"/>
        </w:rPr>
        <w:t>一、报价函</w:t>
      </w:r>
    </w:p>
    <w:p w14:paraId="287299A5">
      <w:pPr>
        <w:spacing w:line="560" w:lineRule="exact"/>
        <w:rPr>
          <w:rFonts w:ascii="仿宋_GB2312" w:eastAsia="仿宋_GB2312"/>
          <w:sz w:val="32"/>
          <w:szCs w:val="32"/>
          <w:highlight w:val="none"/>
        </w:rPr>
      </w:pPr>
      <w:r>
        <w:rPr>
          <w:rFonts w:hint="eastAsia" w:ascii="仿宋_GB2312" w:eastAsia="仿宋_GB2312"/>
          <w:sz w:val="32"/>
          <w:szCs w:val="32"/>
          <w:highlight w:val="none"/>
        </w:rPr>
        <w:t>二、报价表</w:t>
      </w:r>
    </w:p>
    <w:p w14:paraId="4F7D0770">
      <w:pPr>
        <w:spacing w:line="560" w:lineRule="exact"/>
        <w:rPr>
          <w:rFonts w:ascii="仿宋_GB2312" w:eastAsia="仿宋_GB2312"/>
          <w:sz w:val="32"/>
          <w:szCs w:val="32"/>
          <w:highlight w:val="none"/>
        </w:rPr>
      </w:pPr>
      <w:r>
        <w:rPr>
          <w:rFonts w:hint="eastAsia" w:ascii="仿宋_GB2312" w:eastAsia="仿宋_GB2312"/>
          <w:sz w:val="32"/>
          <w:szCs w:val="32"/>
          <w:highlight w:val="none"/>
        </w:rPr>
        <w:t>三、供应商法定代表人身份证明书（格式）</w:t>
      </w:r>
    </w:p>
    <w:p w14:paraId="0A932BE2">
      <w:pPr>
        <w:spacing w:line="560" w:lineRule="exact"/>
        <w:rPr>
          <w:rFonts w:ascii="仿宋_GB2312" w:eastAsia="仿宋_GB2312"/>
          <w:sz w:val="32"/>
          <w:szCs w:val="32"/>
          <w:highlight w:val="none"/>
        </w:rPr>
      </w:pPr>
      <w:r>
        <w:rPr>
          <w:rFonts w:hint="eastAsia" w:ascii="仿宋_GB2312" w:eastAsia="仿宋_GB2312"/>
          <w:sz w:val="32"/>
          <w:szCs w:val="32"/>
          <w:highlight w:val="none"/>
        </w:rPr>
        <w:t>四、供应商法定代表人授权委托书（格式）</w:t>
      </w:r>
    </w:p>
    <w:p w14:paraId="4B07288F">
      <w:pPr>
        <w:spacing w:line="560" w:lineRule="exact"/>
        <w:rPr>
          <w:rFonts w:ascii="仿宋_GB2312" w:eastAsia="仿宋_GB2312"/>
          <w:sz w:val="32"/>
          <w:szCs w:val="32"/>
          <w:highlight w:val="none"/>
        </w:rPr>
      </w:pPr>
      <w:r>
        <w:rPr>
          <w:rFonts w:hint="eastAsia" w:ascii="仿宋_GB2312" w:eastAsia="仿宋_GB2312"/>
          <w:sz w:val="32"/>
          <w:szCs w:val="32"/>
          <w:highlight w:val="none"/>
        </w:rPr>
        <w:t>五、资质文件</w:t>
      </w:r>
    </w:p>
    <w:p w14:paraId="6CABDD46">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其他文件</w:t>
      </w:r>
    </w:p>
    <w:p w14:paraId="55F73575">
      <w:pPr>
        <w:spacing w:line="560" w:lineRule="exact"/>
        <w:jc w:val="left"/>
        <w:outlineLvl w:val="9"/>
        <w:rPr>
          <w:rFonts w:hint="eastAsia" w:ascii="仿宋_GB2312" w:hAnsi="Times New Roman" w:eastAsia="仿宋_GB2312" w:cs="Times New Roman"/>
          <w:b w:val="0"/>
          <w:bCs w:val="0"/>
          <w:kern w:val="2"/>
          <w:sz w:val="32"/>
          <w:szCs w:val="32"/>
          <w:highlight w:val="none"/>
        </w:rPr>
      </w:pPr>
      <w:r>
        <w:rPr>
          <w:rFonts w:hint="eastAsia" w:ascii="仿宋_GB2312" w:eastAsia="仿宋_GB2312" w:cs="Times New Roman"/>
          <w:b w:val="0"/>
          <w:bCs w:val="0"/>
          <w:kern w:val="2"/>
          <w:sz w:val="32"/>
          <w:szCs w:val="32"/>
          <w:highlight w:val="none"/>
          <w:lang w:val="en-US" w:eastAsia="zh-CN"/>
        </w:rPr>
        <w:t>七</w:t>
      </w:r>
      <w:r>
        <w:rPr>
          <w:rFonts w:hint="eastAsia" w:ascii="仿宋_GB2312" w:hAnsi="Times New Roman" w:eastAsia="仿宋_GB2312" w:cs="Times New Roman"/>
          <w:b w:val="0"/>
          <w:bCs w:val="0"/>
          <w:kern w:val="2"/>
          <w:sz w:val="32"/>
          <w:szCs w:val="32"/>
          <w:highlight w:val="none"/>
        </w:rPr>
        <w:t>、供应商廉政保证书</w:t>
      </w:r>
    </w:p>
    <w:p w14:paraId="3A06862D">
      <w:pPr>
        <w:pageBreakBefore/>
        <w:spacing w:line="560" w:lineRule="exact"/>
        <w:jc w:val="center"/>
        <w:outlineLvl w:val="0"/>
        <w:rPr>
          <w:rFonts w:hint="eastAsia" w:ascii="仿宋_GB2312" w:hAnsi="仿宋_GB2312" w:eastAsia="仿宋_GB2312" w:cs="仿宋_GB2312"/>
          <w:b/>
          <w:bCs/>
          <w:kern w:val="44"/>
          <w:sz w:val="44"/>
          <w:szCs w:val="44"/>
          <w:highlight w:val="none"/>
        </w:rPr>
      </w:pPr>
      <w:bookmarkStart w:id="329" w:name="_Toc6010"/>
      <w:bookmarkStart w:id="330" w:name="_Toc9294"/>
      <w:bookmarkStart w:id="331" w:name="_Toc16722"/>
      <w:bookmarkStart w:id="332" w:name="_Toc21265"/>
      <w:bookmarkStart w:id="333" w:name="_Toc2906"/>
      <w:bookmarkStart w:id="334" w:name="_Toc25313"/>
      <w:bookmarkStart w:id="335" w:name="_Toc409439698"/>
      <w:bookmarkStart w:id="336" w:name="_Toc19055"/>
      <w:bookmarkStart w:id="337" w:name="_Toc508286687"/>
      <w:bookmarkStart w:id="338" w:name="_Toc317"/>
      <w:bookmarkStart w:id="339" w:name="_Toc14919"/>
      <w:bookmarkStart w:id="340" w:name="_Toc534883409"/>
      <w:bookmarkStart w:id="341" w:name="_Toc122750652"/>
      <w:bookmarkStart w:id="342" w:name="_Toc18384"/>
      <w:bookmarkStart w:id="343" w:name="_Toc534883367"/>
      <w:bookmarkStart w:id="344" w:name="_Toc32112"/>
      <w:bookmarkStart w:id="345" w:name="_Toc24450"/>
      <w:bookmarkStart w:id="346" w:name="_Toc15079"/>
      <w:bookmarkStart w:id="347" w:name="_Toc969"/>
      <w:r>
        <w:rPr>
          <w:rFonts w:hint="eastAsia" w:ascii="仿宋_GB2312" w:hAnsi="仿宋_GB2312" w:eastAsia="仿宋_GB2312" w:cs="仿宋_GB2312"/>
          <w:b/>
          <w:bCs/>
          <w:kern w:val="44"/>
          <w:sz w:val="44"/>
          <w:szCs w:val="44"/>
          <w:highlight w:val="none"/>
        </w:rPr>
        <w:t>一、报 价 函</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7563A93">
      <w:pPr>
        <w:spacing w:line="560" w:lineRule="exact"/>
        <w:rPr>
          <w:rFonts w:ascii="仿宋_GB2312" w:eastAsia="仿宋_GB2312"/>
          <w:sz w:val="32"/>
          <w:szCs w:val="32"/>
          <w:highlight w:val="none"/>
        </w:rPr>
      </w:pPr>
    </w:p>
    <w:p w14:paraId="3211E528">
      <w:pPr>
        <w:spacing w:line="560" w:lineRule="exact"/>
        <w:rPr>
          <w:rFonts w:ascii="仿宋_GB2312" w:eastAsia="仿宋_GB2312"/>
          <w:sz w:val="32"/>
          <w:szCs w:val="32"/>
          <w:highlight w:val="none"/>
        </w:rPr>
      </w:pPr>
      <w:r>
        <w:rPr>
          <w:rFonts w:hint="eastAsia" w:ascii="仿宋_GB2312" w:eastAsia="仿宋_GB2312"/>
          <w:sz w:val="32"/>
          <w:szCs w:val="32"/>
          <w:highlight w:val="none"/>
          <w:lang w:eastAsia="zh-CN"/>
        </w:rPr>
        <w:t>福路通资源循环（福建）有限公司</w:t>
      </w:r>
      <w:r>
        <w:rPr>
          <w:rFonts w:hint="eastAsia" w:ascii="仿宋_GB2312" w:eastAsia="仿宋_GB2312"/>
          <w:sz w:val="32"/>
          <w:szCs w:val="32"/>
          <w:highlight w:val="none"/>
        </w:rPr>
        <w:t>：</w:t>
      </w:r>
    </w:p>
    <w:p w14:paraId="7390FB81">
      <w:pPr>
        <w:spacing w:line="560" w:lineRule="exact"/>
        <w:rPr>
          <w:rFonts w:ascii="仿宋_GB2312" w:eastAsia="仿宋_GB2312"/>
          <w:sz w:val="32"/>
          <w:szCs w:val="32"/>
          <w:highlight w:val="none"/>
        </w:rPr>
      </w:pPr>
    </w:p>
    <w:p w14:paraId="1C0D8B1D">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我方获悉贵单位需询价采购</w:t>
      </w:r>
      <w:r>
        <w:rPr>
          <w:rFonts w:hint="eastAsia" w:ascii="仿宋_GB2312" w:eastAsia="仿宋_GB2312"/>
          <w:sz w:val="32"/>
          <w:szCs w:val="32"/>
          <w:highlight w:val="none"/>
          <w:u w:val="single"/>
          <w:lang w:eastAsia="zh-CN"/>
        </w:rPr>
        <w:t>2025-2026年度物流运输服务</w:t>
      </w:r>
      <w:r>
        <w:rPr>
          <w:rFonts w:hint="eastAsia" w:ascii="仿宋_GB2312" w:eastAsia="仿宋_GB2312"/>
          <w:sz w:val="32"/>
          <w:szCs w:val="32"/>
          <w:highlight w:val="none"/>
        </w:rPr>
        <w:t>，经详细研究询价采购文件，决定参加该询价采购项目的报价。</w:t>
      </w:r>
    </w:p>
    <w:p w14:paraId="327E8CD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1.我方全面研究了询价采购文件，并能够正确理解和接受其全部内容。我方根据询价采购文件中的各项要求，对所询价采购</w:t>
      </w:r>
      <w:r>
        <w:rPr>
          <w:rFonts w:hint="eastAsia" w:ascii="仿宋_GB2312" w:eastAsia="仿宋_GB2312"/>
          <w:sz w:val="32"/>
          <w:szCs w:val="32"/>
          <w:highlight w:val="none"/>
          <w:lang w:val="en-US" w:eastAsia="zh-CN"/>
        </w:rPr>
        <w:t>2025-2026年度物流运输服务</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我方愿以人民币</w:t>
      </w:r>
      <w:r>
        <w:rPr>
          <w:rFonts w:hint="eastAsia" w:ascii="仿宋_GB2312" w:eastAsia="仿宋_GB2312"/>
          <w:sz w:val="32"/>
          <w:szCs w:val="32"/>
          <w:highlight w:val="none"/>
        </w:rPr>
        <w:t>￥</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（大写</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）元费用价完成</w:t>
      </w:r>
      <w:r>
        <w:rPr>
          <w:rFonts w:hint="eastAsia" w:ascii="仿宋_GB2312" w:eastAsia="仿宋_GB2312"/>
          <w:sz w:val="32"/>
          <w:szCs w:val="32"/>
          <w:highlight w:val="none"/>
          <w:lang w:val="en-US" w:eastAsia="zh-CN"/>
        </w:rPr>
        <w:t>购销</w:t>
      </w:r>
      <w:r>
        <w:rPr>
          <w:rFonts w:hint="eastAsia" w:ascii="仿宋_GB2312" w:eastAsia="仿宋_GB2312"/>
          <w:sz w:val="32"/>
          <w:szCs w:val="32"/>
          <w:highlight w:val="none"/>
        </w:rPr>
        <w:t>服务。</w:t>
      </w:r>
    </w:p>
    <w:p w14:paraId="3BECF4E2">
      <w:pPr>
        <w:spacing w:line="560" w:lineRule="exact"/>
        <w:ind w:firstLine="640" w:firstLineChars="200"/>
        <w:rPr>
          <w:rFonts w:ascii="仿宋_GB2312" w:eastAsia="仿宋_GB2312"/>
          <w:sz w:val="32"/>
          <w:szCs w:val="32"/>
          <w:highlight w:val="none"/>
        </w:rPr>
      </w:pPr>
      <w:bookmarkStart w:id="348" w:name="_Toc8363"/>
      <w:bookmarkStart w:id="349" w:name="_Toc10539"/>
      <w:r>
        <w:rPr>
          <w:rFonts w:hint="eastAsia" w:ascii="仿宋_GB2312" w:eastAsia="仿宋_GB2312"/>
          <w:sz w:val="32"/>
          <w:szCs w:val="32"/>
          <w:highlight w:val="none"/>
        </w:rPr>
        <w:t>2.我方现提交的响应文件为：响应文件正本一份，副本一份。</w:t>
      </w:r>
      <w:bookmarkEnd w:id="348"/>
      <w:bookmarkEnd w:id="349"/>
    </w:p>
    <w:p w14:paraId="0C7B5C78">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3.我方完全同意询价采购文件中规定的评审办法；愿意自行承担我方在参与此次报价活动过程中所发生的一切费用。</w:t>
      </w:r>
    </w:p>
    <w:p w14:paraId="73971D5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4.如果我方中选成交，我方将履行询价采购文件中规定的各项要求，按《中华人民共和国民法典》和合同约定条款承担我方的责任。</w:t>
      </w:r>
    </w:p>
    <w:p w14:paraId="074C8F56">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5.我方愿意接收询价采购人在询价采购文件中要求的所有资料，并对其真实性负责。</w:t>
      </w:r>
    </w:p>
    <w:p w14:paraId="1F2380BB">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供应商法定代表人               供应商：（公章）</w:t>
      </w:r>
    </w:p>
    <w:p w14:paraId="300E3909">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或其授权委托人：（签字） </w:t>
      </w:r>
    </w:p>
    <w:p w14:paraId="2CAEE377">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地址： </w:t>
      </w:r>
    </w:p>
    <w:p w14:paraId="4C5913DD">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电话：                    日期：2025年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w:t>
      </w:r>
    </w:p>
    <w:p w14:paraId="3314992A">
      <w:pPr>
        <w:keepNext/>
        <w:keepLines/>
        <w:widowControl w:val="0"/>
        <w:tabs>
          <w:tab w:val="left" w:pos="720"/>
        </w:tabs>
        <w:spacing w:before="260" w:after="260" w:line="560" w:lineRule="exact"/>
        <w:jc w:val="both"/>
        <w:outlineLvl w:val="9"/>
        <w:rPr>
          <w:rFonts w:hint="eastAsia" w:ascii="宋体" w:hAnsi="宋体" w:eastAsia="宋体" w:cs="Times New Roman"/>
          <w:b/>
          <w:bCs/>
          <w:kern w:val="0"/>
          <w:sz w:val="28"/>
          <w:szCs w:val="32"/>
          <w:highlight w:val="none"/>
          <w:lang w:val="en-US" w:eastAsia="zh-CN" w:bidi="ar-SA"/>
        </w:rPr>
        <w:sectPr>
          <w:footerReference r:id="rId3" w:type="default"/>
          <w:pgSz w:w="11906" w:h="16838"/>
          <w:pgMar w:top="1701" w:right="1474" w:bottom="1134" w:left="1588" w:header="851" w:footer="992" w:gutter="0"/>
          <w:pgNumType w:fmt="numberInDash"/>
          <w:cols w:space="720" w:num="1"/>
          <w:docGrid w:type="lines" w:linePitch="312" w:charSpace="0"/>
        </w:sectPr>
      </w:pPr>
      <w:bookmarkStart w:id="350" w:name="_Toc409439699"/>
      <w:bookmarkStart w:id="351" w:name="_Toc122750653"/>
      <w:bookmarkStart w:id="352" w:name="_Toc534883368"/>
      <w:bookmarkStart w:id="353" w:name="_Toc122257631"/>
      <w:bookmarkStart w:id="354" w:name="_Toc508286688"/>
      <w:bookmarkStart w:id="355" w:name="_Toc534883410"/>
    </w:p>
    <w:bookmarkEnd w:id="350"/>
    <w:bookmarkEnd w:id="351"/>
    <w:bookmarkEnd w:id="352"/>
    <w:bookmarkEnd w:id="353"/>
    <w:bookmarkEnd w:id="354"/>
    <w:bookmarkEnd w:id="355"/>
    <w:p w14:paraId="2D863794">
      <w:pPr>
        <w:keepNext w:val="0"/>
        <w:keepLines w:val="0"/>
        <w:pageBreakBefore/>
        <w:widowControl w:val="0"/>
        <w:numPr>
          <w:ilvl w:val="0"/>
          <w:numId w:val="4"/>
        </w:numPr>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kern w:val="44"/>
          <w:sz w:val="44"/>
          <w:szCs w:val="44"/>
          <w:highlight w:val="none"/>
        </w:rPr>
      </w:pPr>
      <w:bookmarkStart w:id="356" w:name="_Toc23506"/>
      <w:bookmarkStart w:id="357" w:name="_Toc28569"/>
      <w:bookmarkStart w:id="358" w:name="_Toc16674"/>
      <w:bookmarkStart w:id="359" w:name="_Toc13378"/>
      <w:bookmarkStart w:id="360" w:name="_Toc9680"/>
      <w:bookmarkStart w:id="361" w:name="_Toc16543"/>
      <w:bookmarkStart w:id="362" w:name="_Toc28199"/>
      <w:bookmarkStart w:id="363" w:name="_Toc16574"/>
      <w:bookmarkStart w:id="364" w:name="_Toc31915"/>
      <w:bookmarkStart w:id="365" w:name="_Toc3187"/>
      <w:bookmarkStart w:id="366" w:name="_Toc2099"/>
      <w:bookmarkStart w:id="367" w:name="_Toc5375"/>
      <w:bookmarkStart w:id="368" w:name="_Toc12979"/>
      <w:bookmarkStart w:id="369" w:name="_Toc23211"/>
      <w:r>
        <w:rPr>
          <w:rFonts w:hint="eastAsia" w:ascii="仿宋_GB2312" w:hAnsi="仿宋_GB2312" w:eastAsia="仿宋_GB2312" w:cs="仿宋_GB2312"/>
          <w:b/>
          <w:bCs/>
          <w:kern w:val="44"/>
          <w:sz w:val="44"/>
          <w:szCs w:val="44"/>
          <w:highlight w:val="none"/>
        </w:rPr>
        <w:t>报 价 表</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Start w:id="370" w:name="_Toc287002972"/>
      <w:bookmarkStart w:id="371" w:name="_Toc122750655"/>
      <w:bookmarkStart w:id="372" w:name="_Toc409439700"/>
      <w:bookmarkStart w:id="373" w:name="_Toc122257633"/>
    </w:p>
    <w:p w14:paraId="3F9F3061">
      <w:pPr>
        <w:pStyle w:val="13"/>
        <w:numPr>
          <w:ilvl w:val="0"/>
          <w:numId w:val="0"/>
        </w:numPr>
        <w:rPr>
          <w:rFonts w:hint="eastAsia"/>
        </w:rPr>
      </w:pPr>
    </w:p>
    <w:p w14:paraId="3F2ED166">
      <w:pPr>
        <w:pStyle w:val="13"/>
        <w:numPr>
          <w:ilvl w:val="0"/>
          <w:numId w:val="0"/>
        </w:numPr>
        <w:rPr>
          <w:rFonts w:hint="eastAsia"/>
        </w:rPr>
      </w:pPr>
    </w:p>
    <w:p w14:paraId="43079091">
      <w:pPr>
        <w:pStyle w:val="13"/>
        <w:numPr>
          <w:ilvl w:val="0"/>
          <w:numId w:val="0"/>
        </w:numPr>
        <w:rPr>
          <w:rFonts w:hint="eastAsia"/>
        </w:rPr>
      </w:pPr>
    </w:p>
    <w:p w14:paraId="4DA2CC4D">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32"/>
          <w:szCs w:val="32"/>
        </w:rPr>
      </w:pPr>
    </w:p>
    <w:tbl>
      <w:tblPr>
        <w:tblStyle w:val="31"/>
        <w:tblW w:w="9071" w:type="dxa"/>
        <w:jc w:val="center"/>
        <w:tblLayout w:type="fixed"/>
        <w:tblCellMar>
          <w:top w:w="0" w:type="dxa"/>
          <w:left w:w="108" w:type="dxa"/>
          <w:bottom w:w="0" w:type="dxa"/>
          <w:right w:w="108" w:type="dxa"/>
        </w:tblCellMar>
      </w:tblPr>
      <w:tblGrid>
        <w:gridCol w:w="934"/>
        <w:gridCol w:w="1102"/>
        <w:gridCol w:w="2298"/>
        <w:gridCol w:w="1579"/>
        <w:gridCol w:w="1579"/>
        <w:gridCol w:w="1579"/>
      </w:tblGrid>
      <w:tr w14:paraId="14DE12C4">
        <w:tblPrEx>
          <w:tblCellMar>
            <w:top w:w="0" w:type="dxa"/>
            <w:left w:w="108" w:type="dxa"/>
            <w:bottom w:w="0" w:type="dxa"/>
            <w:right w:w="108" w:type="dxa"/>
          </w:tblCellMar>
        </w:tblPrEx>
        <w:trPr>
          <w:trHeight w:val="567" w:hRule="atLeast"/>
          <w:jc w:val="center"/>
        </w:trPr>
        <w:tc>
          <w:tcPr>
            <w:tcW w:w="9071" w:type="dxa"/>
            <w:gridSpan w:val="6"/>
            <w:tcBorders>
              <w:top w:val="nil"/>
              <w:left w:val="nil"/>
              <w:bottom w:val="single" w:color="auto" w:sz="4" w:space="0"/>
              <w:right w:val="nil"/>
            </w:tcBorders>
            <w:noWrap/>
            <w:vAlign w:val="center"/>
          </w:tcPr>
          <w:p w14:paraId="2283127B">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eastAsia="zh-CN"/>
              </w:rPr>
              <w:t>202</w:t>
            </w:r>
            <w:r>
              <w:rPr>
                <w:rFonts w:hint="eastAsia" w:ascii="仿宋_GB2312" w:hAnsi="仿宋_GB2312" w:eastAsia="仿宋_GB2312" w:cs="仿宋_GB2312"/>
                <w:b/>
                <w:bCs/>
                <w:color w:val="000000"/>
                <w:kern w:val="0"/>
                <w:sz w:val="32"/>
                <w:szCs w:val="32"/>
                <w:lang w:val="en-US" w:eastAsia="zh-CN"/>
              </w:rPr>
              <w:t>5</w:t>
            </w:r>
            <w:r>
              <w:rPr>
                <w:rFonts w:hint="eastAsia" w:ascii="仿宋_GB2312" w:hAnsi="仿宋_GB2312" w:eastAsia="仿宋_GB2312" w:cs="仿宋_GB2312"/>
                <w:b/>
                <w:bCs/>
                <w:color w:val="000000"/>
                <w:kern w:val="0"/>
                <w:sz w:val="32"/>
                <w:szCs w:val="32"/>
                <w:lang w:eastAsia="zh-CN"/>
              </w:rPr>
              <w:t>年</w:t>
            </w:r>
            <w:r>
              <w:rPr>
                <w:rFonts w:hint="eastAsia" w:ascii="仿宋_GB2312" w:hAnsi="仿宋_GB2312" w:eastAsia="仿宋_GB2312" w:cs="仿宋_GB2312"/>
                <w:b/>
                <w:bCs/>
                <w:color w:val="000000"/>
                <w:kern w:val="0"/>
                <w:sz w:val="32"/>
                <w:szCs w:val="32"/>
                <w:lang w:val="en-US" w:eastAsia="zh-CN"/>
              </w:rPr>
              <w:t>物流运输服务报价表</w:t>
            </w:r>
          </w:p>
        </w:tc>
      </w:tr>
      <w:tr w14:paraId="0D6E875C">
        <w:tblPrEx>
          <w:tblCellMar>
            <w:top w:w="0" w:type="dxa"/>
            <w:left w:w="108" w:type="dxa"/>
            <w:bottom w:w="0" w:type="dxa"/>
            <w:right w:w="108" w:type="dxa"/>
          </w:tblCellMar>
        </w:tblPrEx>
        <w:trPr>
          <w:trHeight w:val="567" w:hRule="atLeast"/>
          <w:jc w:val="center"/>
        </w:trPr>
        <w:tc>
          <w:tcPr>
            <w:tcW w:w="934" w:type="dxa"/>
            <w:tcBorders>
              <w:top w:val="nil"/>
              <w:left w:val="single" w:color="auto" w:sz="4" w:space="0"/>
              <w:bottom w:val="single" w:color="auto" w:sz="4" w:space="0"/>
              <w:right w:val="single" w:color="auto" w:sz="4" w:space="0"/>
            </w:tcBorders>
            <w:noWrap w:val="0"/>
            <w:vAlign w:val="center"/>
          </w:tcPr>
          <w:p w14:paraId="677A3B38">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序号</w:t>
            </w:r>
          </w:p>
        </w:tc>
        <w:tc>
          <w:tcPr>
            <w:tcW w:w="1102" w:type="dxa"/>
            <w:tcBorders>
              <w:top w:val="nil"/>
              <w:left w:val="nil"/>
              <w:bottom w:val="single" w:color="auto" w:sz="4" w:space="0"/>
              <w:right w:val="single" w:color="auto" w:sz="4" w:space="0"/>
            </w:tcBorders>
            <w:noWrap w:val="0"/>
            <w:vAlign w:val="center"/>
          </w:tcPr>
          <w:p w14:paraId="4076D93B">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项目</w:t>
            </w:r>
          </w:p>
        </w:tc>
        <w:tc>
          <w:tcPr>
            <w:tcW w:w="2298" w:type="dxa"/>
            <w:tcBorders>
              <w:top w:val="nil"/>
              <w:left w:val="nil"/>
              <w:bottom w:val="single" w:color="auto" w:sz="4" w:space="0"/>
              <w:right w:val="single" w:color="auto" w:sz="4" w:space="0"/>
            </w:tcBorders>
            <w:noWrap w:val="0"/>
            <w:vAlign w:val="center"/>
          </w:tcPr>
          <w:p w14:paraId="1BB32302">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运距</w:t>
            </w:r>
          </w:p>
        </w:tc>
        <w:tc>
          <w:tcPr>
            <w:tcW w:w="1579" w:type="dxa"/>
            <w:tcBorders>
              <w:top w:val="nil"/>
              <w:left w:val="nil"/>
              <w:bottom w:val="single" w:color="auto" w:sz="4" w:space="0"/>
              <w:right w:val="single" w:color="auto" w:sz="4" w:space="0"/>
            </w:tcBorders>
            <w:noWrap w:val="0"/>
            <w:vAlign w:val="center"/>
          </w:tcPr>
          <w:p w14:paraId="09560DF5">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单价</w:t>
            </w:r>
          </w:p>
          <w:p w14:paraId="7A6ADCD5">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（元/吨）</w:t>
            </w:r>
          </w:p>
        </w:tc>
        <w:tc>
          <w:tcPr>
            <w:tcW w:w="1579" w:type="dxa"/>
            <w:tcBorders>
              <w:top w:val="nil"/>
              <w:left w:val="nil"/>
              <w:bottom w:val="single" w:color="auto" w:sz="4" w:space="0"/>
              <w:right w:val="single" w:color="auto" w:sz="4" w:space="0"/>
            </w:tcBorders>
            <w:noWrap w:val="0"/>
            <w:vAlign w:val="center"/>
          </w:tcPr>
          <w:p w14:paraId="5E9CE187">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数量</w:t>
            </w:r>
          </w:p>
          <w:p w14:paraId="08A9E013">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（吨）</w:t>
            </w:r>
          </w:p>
        </w:tc>
        <w:tc>
          <w:tcPr>
            <w:tcW w:w="1579" w:type="dxa"/>
            <w:tcBorders>
              <w:top w:val="nil"/>
              <w:left w:val="nil"/>
              <w:bottom w:val="single" w:color="auto" w:sz="4" w:space="0"/>
              <w:right w:val="single" w:color="auto" w:sz="4" w:space="0"/>
            </w:tcBorders>
            <w:noWrap w:val="0"/>
            <w:vAlign w:val="center"/>
          </w:tcPr>
          <w:p w14:paraId="57C9E9C6">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总价</w:t>
            </w:r>
          </w:p>
          <w:p w14:paraId="7BF8FC1C">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（元）</w:t>
            </w:r>
          </w:p>
        </w:tc>
      </w:tr>
      <w:tr w14:paraId="382152BA">
        <w:tblPrEx>
          <w:tblCellMar>
            <w:top w:w="0" w:type="dxa"/>
            <w:left w:w="108" w:type="dxa"/>
            <w:bottom w:w="0" w:type="dxa"/>
            <w:right w:w="108" w:type="dxa"/>
          </w:tblCellMar>
        </w:tblPrEx>
        <w:trPr>
          <w:trHeight w:val="567" w:hRule="atLeast"/>
          <w:jc w:val="center"/>
        </w:trPr>
        <w:tc>
          <w:tcPr>
            <w:tcW w:w="934" w:type="dxa"/>
            <w:tcBorders>
              <w:top w:val="nil"/>
              <w:left w:val="single" w:color="auto" w:sz="4" w:space="0"/>
              <w:bottom w:val="single" w:color="auto" w:sz="4" w:space="0"/>
              <w:right w:val="single" w:color="auto" w:sz="4" w:space="0"/>
            </w:tcBorders>
            <w:noWrap w:val="0"/>
            <w:vAlign w:val="center"/>
          </w:tcPr>
          <w:p w14:paraId="7EF15D65">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1102" w:type="dxa"/>
            <w:vMerge w:val="restart"/>
            <w:tcBorders>
              <w:top w:val="nil"/>
              <w:left w:val="nil"/>
              <w:right w:val="single" w:color="auto" w:sz="4" w:space="0"/>
            </w:tcBorders>
            <w:noWrap w:val="0"/>
            <w:vAlign w:val="center"/>
          </w:tcPr>
          <w:p w14:paraId="6D90FD69">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物流</w:t>
            </w:r>
          </w:p>
          <w:p w14:paraId="656FA84C">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运输</w:t>
            </w:r>
          </w:p>
          <w:p w14:paraId="080B793B">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服务</w:t>
            </w:r>
          </w:p>
        </w:tc>
        <w:tc>
          <w:tcPr>
            <w:tcW w:w="2298" w:type="dxa"/>
            <w:tcBorders>
              <w:top w:val="nil"/>
              <w:left w:val="nil"/>
              <w:bottom w:val="single" w:color="auto" w:sz="4" w:space="0"/>
              <w:right w:val="single" w:color="auto" w:sz="4" w:space="0"/>
            </w:tcBorders>
            <w:noWrap w:val="0"/>
            <w:vAlign w:val="center"/>
          </w:tcPr>
          <w:p w14:paraId="70C8CDEA">
            <w:pPr>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≤50km</w:t>
            </w:r>
          </w:p>
        </w:tc>
        <w:tc>
          <w:tcPr>
            <w:tcW w:w="1579" w:type="dxa"/>
            <w:tcBorders>
              <w:top w:val="nil"/>
              <w:left w:val="nil"/>
              <w:bottom w:val="single" w:color="auto" w:sz="4" w:space="0"/>
              <w:right w:val="single" w:color="auto" w:sz="4" w:space="0"/>
            </w:tcBorders>
            <w:noWrap w:val="0"/>
            <w:vAlign w:val="center"/>
          </w:tcPr>
          <w:p w14:paraId="23D89099">
            <w:pPr>
              <w:jc w:val="center"/>
              <w:rPr>
                <w:rFonts w:hint="eastAsia" w:ascii="仿宋_GB2312" w:hAnsi="仿宋_GB2312" w:eastAsia="仿宋_GB2312" w:cs="仿宋_GB2312"/>
                <w:color w:val="000000"/>
                <w:kern w:val="0"/>
                <w:sz w:val="32"/>
                <w:szCs w:val="32"/>
                <w:lang w:val="en-US" w:eastAsia="zh-CN"/>
              </w:rPr>
            </w:pPr>
          </w:p>
        </w:tc>
        <w:tc>
          <w:tcPr>
            <w:tcW w:w="1579" w:type="dxa"/>
            <w:tcBorders>
              <w:top w:val="nil"/>
              <w:left w:val="nil"/>
              <w:bottom w:val="single" w:color="auto" w:sz="4" w:space="0"/>
              <w:right w:val="single" w:color="auto" w:sz="4" w:space="0"/>
            </w:tcBorders>
            <w:shd w:val="clear" w:color="auto" w:fill="auto"/>
            <w:noWrap w:val="0"/>
            <w:vAlign w:val="center"/>
          </w:tcPr>
          <w:p w14:paraId="05F9E59C">
            <w:pPr>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500</w:t>
            </w:r>
          </w:p>
        </w:tc>
        <w:tc>
          <w:tcPr>
            <w:tcW w:w="1579" w:type="dxa"/>
            <w:tcBorders>
              <w:top w:val="nil"/>
              <w:left w:val="nil"/>
              <w:bottom w:val="single" w:color="auto" w:sz="4" w:space="0"/>
              <w:right w:val="single" w:color="auto" w:sz="4" w:space="0"/>
            </w:tcBorders>
            <w:noWrap w:val="0"/>
            <w:vAlign w:val="center"/>
          </w:tcPr>
          <w:p w14:paraId="4A85953A">
            <w:pPr>
              <w:jc w:val="center"/>
              <w:rPr>
                <w:rFonts w:hint="eastAsia" w:ascii="仿宋_GB2312" w:hAnsi="仿宋_GB2312" w:eastAsia="仿宋_GB2312" w:cs="仿宋_GB2312"/>
                <w:color w:val="000000"/>
                <w:kern w:val="0"/>
                <w:sz w:val="32"/>
                <w:szCs w:val="32"/>
                <w:lang w:val="en-US" w:eastAsia="zh-CN"/>
              </w:rPr>
            </w:pPr>
          </w:p>
        </w:tc>
      </w:tr>
      <w:tr w14:paraId="6D851E59">
        <w:tblPrEx>
          <w:tblCellMar>
            <w:top w:w="0" w:type="dxa"/>
            <w:left w:w="108" w:type="dxa"/>
            <w:bottom w:w="0" w:type="dxa"/>
            <w:right w:w="108" w:type="dxa"/>
          </w:tblCellMar>
        </w:tblPrEx>
        <w:trPr>
          <w:trHeight w:val="567" w:hRule="atLeast"/>
          <w:jc w:val="center"/>
        </w:trPr>
        <w:tc>
          <w:tcPr>
            <w:tcW w:w="934" w:type="dxa"/>
            <w:tcBorders>
              <w:top w:val="nil"/>
              <w:left w:val="single" w:color="auto" w:sz="4" w:space="0"/>
              <w:bottom w:val="single" w:color="auto" w:sz="4" w:space="0"/>
              <w:right w:val="single" w:color="auto" w:sz="4" w:space="0"/>
            </w:tcBorders>
            <w:noWrap w:val="0"/>
            <w:vAlign w:val="center"/>
          </w:tcPr>
          <w:p w14:paraId="2BA7712B">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w:t>
            </w:r>
          </w:p>
        </w:tc>
        <w:tc>
          <w:tcPr>
            <w:tcW w:w="1102" w:type="dxa"/>
            <w:vMerge w:val="continue"/>
            <w:tcBorders>
              <w:left w:val="nil"/>
              <w:right w:val="single" w:color="auto" w:sz="4" w:space="0"/>
            </w:tcBorders>
            <w:noWrap w:val="0"/>
            <w:vAlign w:val="center"/>
          </w:tcPr>
          <w:p w14:paraId="356F9C66">
            <w:pPr>
              <w:widowControl/>
              <w:jc w:val="center"/>
              <w:rPr>
                <w:rFonts w:hint="eastAsia" w:ascii="仿宋_GB2312" w:hAnsi="仿宋_GB2312" w:eastAsia="仿宋_GB2312" w:cs="仿宋_GB2312"/>
                <w:color w:val="000000"/>
                <w:kern w:val="0"/>
                <w:sz w:val="32"/>
                <w:szCs w:val="32"/>
              </w:rPr>
            </w:pPr>
          </w:p>
        </w:tc>
        <w:tc>
          <w:tcPr>
            <w:tcW w:w="2298" w:type="dxa"/>
            <w:tcBorders>
              <w:top w:val="nil"/>
              <w:left w:val="nil"/>
              <w:bottom w:val="single" w:color="auto" w:sz="4" w:space="0"/>
              <w:right w:val="single" w:color="auto" w:sz="4" w:space="0"/>
            </w:tcBorders>
            <w:noWrap w:val="0"/>
            <w:vAlign w:val="center"/>
          </w:tcPr>
          <w:p w14:paraId="34C88932">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50km～100km</w:t>
            </w:r>
          </w:p>
        </w:tc>
        <w:tc>
          <w:tcPr>
            <w:tcW w:w="1579" w:type="dxa"/>
            <w:tcBorders>
              <w:top w:val="nil"/>
              <w:left w:val="nil"/>
              <w:bottom w:val="single" w:color="auto" w:sz="4" w:space="0"/>
              <w:right w:val="single" w:color="auto" w:sz="4" w:space="0"/>
            </w:tcBorders>
            <w:noWrap w:val="0"/>
            <w:vAlign w:val="center"/>
          </w:tcPr>
          <w:p w14:paraId="1A398CAC">
            <w:pPr>
              <w:widowControl/>
              <w:jc w:val="center"/>
              <w:rPr>
                <w:rFonts w:hint="eastAsia" w:ascii="仿宋_GB2312" w:hAnsi="仿宋_GB2312" w:eastAsia="仿宋_GB2312" w:cs="仿宋_GB2312"/>
                <w:color w:val="000000"/>
                <w:kern w:val="0"/>
                <w:sz w:val="32"/>
                <w:szCs w:val="32"/>
                <w:lang w:val="en-US" w:eastAsia="zh-CN"/>
              </w:rPr>
            </w:pPr>
          </w:p>
        </w:tc>
        <w:tc>
          <w:tcPr>
            <w:tcW w:w="1579" w:type="dxa"/>
            <w:tcBorders>
              <w:top w:val="nil"/>
              <w:left w:val="nil"/>
              <w:bottom w:val="single" w:color="auto" w:sz="4" w:space="0"/>
              <w:right w:val="single" w:color="auto" w:sz="4" w:space="0"/>
            </w:tcBorders>
            <w:shd w:val="clear" w:color="auto" w:fill="auto"/>
            <w:noWrap w:val="0"/>
            <w:vAlign w:val="center"/>
          </w:tcPr>
          <w:p w14:paraId="61996563">
            <w:pPr>
              <w:widowControl/>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1000</w:t>
            </w:r>
          </w:p>
        </w:tc>
        <w:tc>
          <w:tcPr>
            <w:tcW w:w="1579" w:type="dxa"/>
            <w:tcBorders>
              <w:top w:val="nil"/>
              <w:left w:val="nil"/>
              <w:bottom w:val="single" w:color="auto" w:sz="4" w:space="0"/>
              <w:right w:val="single" w:color="auto" w:sz="4" w:space="0"/>
            </w:tcBorders>
            <w:noWrap w:val="0"/>
            <w:vAlign w:val="center"/>
          </w:tcPr>
          <w:p w14:paraId="51F55731">
            <w:pPr>
              <w:widowControl/>
              <w:jc w:val="center"/>
              <w:rPr>
                <w:rFonts w:hint="eastAsia" w:ascii="仿宋_GB2312" w:hAnsi="仿宋_GB2312" w:eastAsia="仿宋_GB2312" w:cs="仿宋_GB2312"/>
                <w:color w:val="000000"/>
                <w:kern w:val="0"/>
                <w:sz w:val="32"/>
                <w:szCs w:val="32"/>
                <w:lang w:val="en-US" w:eastAsia="zh-CN"/>
              </w:rPr>
            </w:pPr>
          </w:p>
        </w:tc>
      </w:tr>
      <w:tr w14:paraId="13DAAE98">
        <w:tblPrEx>
          <w:tblCellMar>
            <w:top w:w="0" w:type="dxa"/>
            <w:left w:w="108" w:type="dxa"/>
            <w:bottom w:w="0" w:type="dxa"/>
            <w:right w:w="108" w:type="dxa"/>
          </w:tblCellMar>
        </w:tblPrEx>
        <w:trPr>
          <w:trHeight w:val="567" w:hRule="atLeast"/>
          <w:jc w:val="center"/>
        </w:trPr>
        <w:tc>
          <w:tcPr>
            <w:tcW w:w="934" w:type="dxa"/>
            <w:tcBorders>
              <w:top w:val="nil"/>
              <w:left w:val="single" w:color="auto" w:sz="4" w:space="0"/>
              <w:bottom w:val="single" w:color="auto" w:sz="4" w:space="0"/>
              <w:right w:val="single" w:color="auto" w:sz="4" w:space="0"/>
            </w:tcBorders>
            <w:noWrap w:val="0"/>
            <w:vAlign w:val="center"/>
          </w:tcPr>
          <w:p w14:paraId="0CF65731">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p>
        </w:tc>
        <w:tc>
          <w:tcPr>
            <w:tcW w:w="1102" w:type="dxa"/>
            <w:vMerge w:val="continue"/>
            <w:tcBorders>
              <w:left w:val="nil"/>
              <w:right w:val="single" w:color="auto" w:sz="4" w:space="0"/>
            </w:tcBorders>
            <w:noWrap w:val="0"/>
            <w:vAlign w:val="center"/>
          </w:tcPr>
          <w:p w14:paraId="2E2E901C">
            <w:pPr>
              <w:widowControl/>
              <w:jc w:val="center"/>
              <w:rPr>
                <w:rFonts w:hint="eastAsia" w:ascii="仿宋_GB2312" w:hAnsi="仿宋_GB2312" w:eastAsia="仿宋_GB2312" w:cs="仿宋_GB2312"/>
                <w:kern w:val="0"/>
                <w:sz w:val="32"/>
                <w:szCs w:val="32"/>
              </w:rPr>
            </w:pPr>
          </w:p>
        </w:tc>
        <w:tc>
          <w:tcPr>
            <w:tcW w:w="2298" w:type="dxa"/>
            <w:tcBorders>
              <w:top w:val="nil"/>
              <w:left w:val="nil"/>
              <w:bottom w:val="single" w:color="auto" w:sz="4" w:space="0"/>
              <w:right w:val="single" w:color="auto" w:sz="4" w:space="0"/>
            </w:tcBorders>
            <w:noWrap w:val="0"/>
            <w:vAlign w:val="center"/>
          </w:tcPr>
          <w:p w14:paraId="3D6C3BB6">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100km～200km</w:t>
            </w:r>
          </w:p>
        </w:tc>
        <w:tc>
          <w:tcPr>
            <w:tcW w:w="1579" w:type="dxa"/>
            <w:tcBorders>
              <w:top w:val="nil"/>
              <w:left w:val="nil"/>
              <w:bottom w:val="single" w:color="auto" w:sz="4" w:space="0"/>
              <w:right w:val="single" w:color="auto" w:sz="4" w:space="0"/>
            </w:tcBorders>
            <w:noWrap w:val="0"/>
            <w:vAlign w:val="center"/>
          </w:tcPr>
          <w:p w14:paraId="697CBA93">
            <w:pPr>
              <w:widowControl/>
              <w:jc w:val="center"/>
              <w:rPr>
                <w:rFonts w:hint="eastAsia" w:ascii="仿宋_GB2312" w:hAnsi="仿宋_GB2312" w:eastAsia="仿宋_GB2312" w:cs="仿宋_GB2312"/>
                <w:color w:val="000000"/>
                <w:kern w:val="0"/>
                <w:sz w:val="32"/>
                <w:szCs w:val="32"/>
                <w:lang w:val="en-US" w:eastAsia="zh-CN"/>
              </w:rPr>
            </w:pPr>
          </w:p>
        </w:tc>
        <w:tc>
          <w:tcPr>
            <w:tcW w:w="1579" w:type="dxa"/>
            <w:tcBorders>
              <w:top w:val="nil"/>
              <w:left w:val="nil"/>
              <w:bottom w:val="single" w:color="auto" w:sz="4" w:space="0"/>
              <w:right w:val="single" w:color="auto" w:sz="4" w:space="0"/>
            </w:tcBorders>
            <w:shd w:val="clear" w:color="auto" w:fill="auto"/>
            <w:noWrap w:val="0"/>
            <w:vAlign w:val="center"/>
          </w:tcPr>
          <w:p w14:paraId="533AE061">
            <w:pPr>
              <w:widowControl/>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1000</w:t>
            </w:r>
          </w:p>
        </w:tc>
        <w:tc>
          <w:tcPr>
            <w:tcW w:w="1579" w:type="dxa"/>
            <w:tcBorders>
              <w:top w:val="nil"/>
              <w:left w:val="nil"/>
              <w:bottom w:val="single" w:color="auto" w:sz="4" w:space="0"/>
              <w:right w:val="single" w:color="auto" w:sz="4" w:space="0"/>
            </w:tcBorders>
            <w:noWrap w:val="0"/>
            <w:vAlign w:val="center"/>
          </w:tcPr>
          <w:p w14:paraId="0625130F">
            <w:pPr>
              <w:widowControl/>
              <w:jc w:val="center"/>
              <w:rPr>
                <w:rFonts w:hint="eastAsia" w:ascii="仿宋_GB2312" w:hAnsi="仿宋_GB2312" w:eastAsia="仿宋_GB2312" w:cs="仿宋_GB2312"/>
                <w:color w:val="000000"/>
                <w:kern w:val="0"/>
                <w:sz w:val="32"/>
                <w:szCs w:val="32"/>
                <w:lang w:val="en-US" w:eastAsia="zh-CN"/>
              </w:rPr>
            </w:pPr>
          </w:p>
        </w:tc>
      </w:tr>
      <w:tr w14:paraId="69C52855">
        <w:tblPrEx>
          <w:tblCellMar>
            <w:top w:w="0" w:type="dxa"/>
            <w:left w:w="108" w:type="dxa"/>
            <w:bottom w:w="0" w:type="dxa"/>
            <w:right w:w="108" w:type="dxa"/>
          </w:tblCellMar>
        </w:tblPrEx>
        <w:trPr>
          <w:trHeight w:val="567" w:hRule="atLeast"/>
          <w:jc w:val="center"/>
        </w:trPr>
        <w:tc>
          <w:tcPr>
            <w:tcW w:w="934" w:type="dxa"/>
            <w:tcBorders>
              <w:top w:val="nil"/>
              <w:left w:val="single" w:color="auto" w:sz="4" w:space="0"/>
              <w:bottom w:val="single" w:color="auto" w:sz="4" w:space="0"/>
              <w:right w:val="single" w:color="auto" w:sz="4" w:space="0"/>
            </w:tcBorders>
            <w:noWrap w:val="0"/>
            <w:vAlign w:val="center"/>
          </w:tcPr>
          <w:p w14:paraId="4140BB5A">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p>
        </w:tc>
        <w:tc>
          <w:tcPr>
            <w:tcW w:w="1102" w:type="dxa"/>
            <w:vMerge w:val="continue"/>
            <w:tcBorders>
              <w:left w:val="nil"/>
              <w:right w:val="single" w:color="auto" w:sz="4" w:space="0"/>
            </w:tcBorders>
            <w:noWrap w:val="0"/>
            <w:vAlign w:val="center"/>
          </w:tcPr>
          <w:p w14:paraId="1321AF53">
            <w:pPr>
              <w:widowControl/>
              <w:jc w:val="center"/>
              <w:rPr>
                <w:rFonts w:hint="eastAsia" w:ascii="仿宋_GB2312" w:hAnsi="仿宋_GB2312" w:eastAsia="仿宋_GB2312" w:cs="仿宋_GB2312"/>
                <w:kern w:val="0"/>
                <w:sz w:val="32"/>
                <w:szCs w:val="32"/>
              </w:rPr>
            </w:pPr>
          </w:p>
        </w:tc>
        <w:tc>
          <w:tcPr>
            <w:tcW w:w="2298" w:type="dxa"/>
            <w:tcBorders>
              <w:top w:val="nil"/>
              <w:left w:val="nil"/>
              <w:bottom w:val="single" w:color="auto" w:sz="4" w:space="0"/>
              <w:right w:val="single" w:color="auto" w:sz="4" w:space="0"/>
            </w:tcBorders>
            <w:noWrap w:val="0"/>
            <w:vAlign w:val="center"/>
          </w:tcPr>
          <w:p w14:paraId="6338AFA1">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200km～300km</w:t>
            </w:r>
          </w:p>
        </w:tc>
        <w:tc>
          <w:tcPr>
            <w:tcW w:w="1579" w:type="dxa"/>
            <w:tcBorders>
              <w:top w:val="nil"/>
              <w:left w:val="nil"/>
              <w:bottom w:val="single" w:color="auto" w:sz="4" w:space="0"/>
              <w:right w:val="single" w:color="auto" w:sz="4" w:space="0"/>
            </w:tcBorders>
            <w:noWrap w:val="0"/>
            <w:vAlign w:val="center"/>
          </w:tcPr>
          <w:p w14:paraId="06FFC618">
            <w:pPr>
              <w:widowControl/>
              <w:jc w:val="center"/>
              <w:rPr>
                <w:rFonts w:hint="eastAsia" w:ascii="仿宋_GB2312" w:hAnsi="仿宋_GB2312" w:eastAsia="仿宋_GB2312" w:cs="仿宋_GB2312"/>
                <w:color w:val="000000"/>
                <w:kern w:val="0"/>
                <w:sz w:val="32"/>
                <w:szCs w:val="32"/>
                <w:lang w:val="en-US" w:eastAsia="zh-CN"/>
              </w:rPr>
            </w:pPr>
          </w:p>
        </w:tc>
        <w:tc>
          <w:tcPr>
            <w:tcW w:w="1579" w:type="dxa"/>
            <w:tcBorders>
              <w:top w:val="nil"/>
              <w:left w:val="nil"/>
              <w:bottom w:val="single" w:color="auto" w:sz="4" w:space="0"/>
              <w:right w:val="single" w:color="auto" w:sz="4" w:space="0"/>
            </w:tcBorders>
            <w:shd w:val="clear" w:color="auto" w:fill="auto"/>
            <w:noWrap w:val="0"/>
            <w:vAlign w:val="center"/>
          </w:tcPr>
          <w:p w14:paraId="7A65D5F7">
            <w:pPr>
              <w:widowControl/>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500</w:t>
            </w:r>
          </w:p>
        </w:tc>
        <w:tc>
          <w:tcPr>
            <w:tcW w:w="1579" w:type="dxa"/>
            <w:tcBorders>
              <w:top w:val="nil"/>
              <w:left w:val="nil"/>
              <w:bottom w:val="single" w:color="auto" w:sz="4" w:space="0"/>
              <w:right w:val="single" w:color="auto" w:sz="4" w:space="0"/>
            </w:tcBorders>
            <w:noWrap w:val="0"/>
            <w:vAlign w:val="center"/>
          </w:tcPr>
          <w:p w14:paraId="74888B5B">
            <w:pPr>
              <w:widowControl/>
              <w:jc w:val="center"/>
              <w:rPr>
                <w:rFonts w:hint="eastAsia" w:ascii="仿宋_GB2312" w:hAnsi="仿宋_GB2312" w:eastAsia="仿宋_GB2312" w:cs="仿宋_GB2312"/>
                <w:color w:val="000000"/>
                <w:kern w:val="0"/>
                <w:sz w:val="32"/>
                <w:szCs w:val="32"/>
                <w:lang w:val="en-US" w:eastAsia="zh-CN"/>
              </w:rPr>
            </w:pPr>
          </w:p>
        </w:tc>
      </w:tr>
      <w:tr w14:paraId="6032C529">
        <w:tblPrEx>
          <w:tblCellMar>
            <w:top w:w="0" w:type="dxa"/>
            <w:left w:w="108" w:type="dxa"/>
            <w:bottom w:w="0" w:type="dxa"/>
            <w:right w:w="108" w:type="dxa"/>
          </w:tblCellMar>
        </w:tblPrEx>
        <w:trPr>
          <w:trHeight w:val="567" w:hRule="atLeast"/>
          <w:jc w:val="center"/>
        </w:trPr>
        <w:tc>
          <w:tcPr>
            <w:tcW w:w="934" w:type="dxa"/>
            <w:tcBorders>
              <w:top w:val="nil"/>
              <w:left w:val="single" w:color="auto" w:sz="4" w:space="0"/>
              <w:bottom w:val="single" w:color="auto" w:sz="4" w:space="0"/>
              <w:right w:val="single" w:color="auto" w:sz="4" w:space="0"/>
            </w:tcBorders>
            <w:noWrap w:val="0"/>
            <w:vAlign w:val="center"/>
          </w:tcPr>
          <w:p w14:paraId="032D2407">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p>
        </w:tc>
        <w:tc>
          <w:tcPr>
            <w:tcW w:w="1102" w:type="dxa"/>
            <w:vMerge w:val="continue"/>
            <w:tcBorders>
              <w:left w:val="nil"/>
              <w:bottom w:val="single" w:color="auto" w:sz="4" w:space="0"/>
              <w:right w:val="single" w:color="auto" w:sz="4" w:space="0"/>
            </w:tcBorders>
            <w:noWrap w:val="0"/>
            <w:vAlign w:val="center"/>
          </w:tcPr>
          <w:p w14:paraId="7652B977">
            <w:pPr>
              <w:widowControl/>
              <w:jc w:val="center"/>
              <w:rPr>
                <w:rFonts w:hint="eastAsia" w:ascii="仿宋_GB2312" w:hAnsi="仿宋_GB2312" w:eastAsia="仿宋_GB2312" w:cs="仿宋_GB2312"/>
                <w:kern w:val="0"/>
                <w:sz w:val="32"/>
                <w:szCs w:val="32"/>
              </w:rPr>
            </w:pPr>
          </w:p>
        </w:tc>
        <w:tc>
          <w:tcPr>
            <w:tcW w:w="2298" w:type="dxa"/>
            <w:tcBorders>
              <w:top w:val="nil"/>
              <w:left w:val="nil"/>
              <w:bottom w:val="single" w:color="auto" w:sz="4" w:space="0"/>
              <w:right w:val="single" w:color="auto" w:sz="4" w:space="0"/>
            </w:tcBorders>
            <w:noWrap w:val="0"/>
            <w:vAlign w:val="center"/>
          </w:tcPr>
          <w:p w14:paraId="6A56183B">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300km～400km</w:t>
            </w:r>
          </w:p>
        </w:tc>
        <w:tc>
          <w:tcPr>
            <w:tcW w:w="1579" w:type="dxa"/>
            <w:tcBorders>
              <w:top w:val="nil"/>
              <w:left w:val="nil"/>
              <w:bottom w:val="single" w:color="auto" w:sz="4" w:space="0"/>
              <w:right w:val="single" w:color="auto" w:sz="4" w:space="0"/>
            </w:tcBorders>
            <w:noWrap w:val="0"/>
            <w:vAlign w:val="center"/>
          </w:tcPr>
          <w:p w14:paraId="24C37960">
            <w:pPr>
              <w:widowControl/>
              <w:jc w:val="center"/>
              <w:rPr>
                <w:rFonts w:hint="eastAsia" w:ascii="仿宋_GB2312" w:hAnsi="仿宋_GB2312" w:eastAsia="仿宋_GB2312" w:cs="仿宋_GB2312"/>
                <w:color w:val="000000"/>
                <w:kern w:val="0"/>
                <w:sz w:val="32"/>
                <w:szCs w:val="32"/>
                <w:lang w:val="en-US" w:eastAsia="zh-CN"/>
              </w:rPr>
            </w:pPr>
          </w:p>
        </w:tc>
        <w:tc>
          <w:tcPr>
            <w:tcW w:w="1579" w:type="dxa"/>
            <w:tcBorders>
              <w:top w:val="nil"/>
              <w:left w:val="nil"/>
              <w:bottom w:val="single" w:color="auto" w:sz="4" w:space="0"/>
              <w:right w:val="single" w:color="auto" w:sz="4" w:space="0"/>
            </w:tcBorders>
            <w:shd w:val="clear" w:color="auto" w:fill="auto"/>
            <w:noWrap w:val="0"/>
            <w:vAlign w:val="center"/>
          </w:tcPr>
          <w:p w14:paraId="5BC10ADD">
            <w:pPr>
              <w:widowControl/>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500</w:t>
            </w:r>
          </w:p>
        </w:tc>
        <w:tc>
          <w:tcPr>
            <w:tcW w:w="1579" w:type="dxa"/>
            <w:tcBorders>
              <w:top w:val="nil"/>
              <w:left w:val="nil"/>
              <w:bottom w:val="single" w:color="auto" w:sz="4" w:space="0"/>
              <w:right w:val="single" w:color="auto" w:sz="4" w:space="0"/>
            </w:tcBorders>
            <w:noWrap w:val="0"/>
            <w:vAlign w:val="center"/>
          </w:tcPr>
          <w:p w14:paraId="3EDA2B25">
            <w:pPr>
              <w:widowControl/>
              <w:jc w:val="center"/>
              <w:rPr>
                <w:rFonts w:hint="eastAsia" w:ascii="仿宋_GB2312" w:hAnsi="仿宋_GB2312" w:eastAsia="仿宋_GB2312" w:cs="仿宋_GB2312"/>
                <w:color w:val="000000"/>
                <w:kern w:val="0"/>
                <w:sz w:val="32"/>
                <w:szCs w:val="32"/>
                <w:lang w:val="en-US" w:eastAsia="zh-CN"/>
              </w:rPr>
            </w:pPr>
          </w:p>
        </w:tc>
      </w:tr>
      <w:tr w14:paraId="7339E708">
        <w:tblPrEx>
          <w:tblCellMar>
            <w:top w:w="0" w:type="dxa"/>
            <w:left w:w="108" w:type="dxa"/>
            <w:bottom w:w="0" w:type="dxa"/>
            <w:right w:w="108" w:type="dxa"/>
          </w:tblCellMar>
        </w:tblPrEx>
        <w:trPr>
          <w:trHeight w:val="567" w:hRule="atLeast"/>
          <w:jc w:val="center"/>
        </w:trPr>
        <w:tc>
          <w:tcPr>
            <w:tcW w:w="2036" w:type="dxa"/>
            <w:gridSpan w:val="2"/>
            <w:tcBorders>
              <w:top w:val="nil"/>
              <w:left w:val="single" w:color="auto" w:sz="4" w:space="0"/>
              <w:bottom w:val="single" w:color="auto" w:sz="4" w:space="0"/>
              <w:right w:val="single" w:color="auto" w:sz="4" w:space="0"/>
            </w:tcBorders>
            <w:noWrap w:val="0"/>
            <w:vAlign w:val="center"/>
          </w:tcPr>
          <w:p w14:paraId="42744575">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总计</w:t>
            </w:r>
          </w:p>
        </w:tc>
        <w:tc>
          <w:tcPr>
            <w:tcW w:w="5456" w:type="dxa"/>
            <w:gridSpan w:val="3"/>
            <w:tcBorders>
              <w:top w:val="nil"/>
              <w:left w:val="nil"/>
              <w:bottom w:val="single" w:color="auto" w:sz="4" w:space="0"/>
              <w:right w:val="single" w:color="auto" w:sz="4" w:space="0"/>
            </w:tcBorders>
            <w:noWrap w:val="0"/>
            <w:vAlign w:val="center"/>
          </w:tcPr>
          <w:p w14:paraId="19A8E456">
            <w:pPr>
              <w:widowControl/>
              <w:jc w:val="center"/>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b w:val="0"/>
                <w:bCs w:val="0"/>
                <w:color w:val="000000"/>
                <w:sz w:val="32"/>
                <w:szCs w:val="32"/>
                <w:highlight w:val="none"/>
                <w:lang w:val="en-US"/>
              </w:rPr>
              <w:t>含税总额（元）（增值税率：</w:t>
            </w:r>
            <w:r>
              <w:rPr>
                <w:rFonts w:hint="eastAsia" w:ascii="仿宋_GB2312" w:hAnsi="仿宋_GB2312" w:eastAsia="仿宋_GB2312" w:cs="仿宋_GB2312"/>
                <w:b w:val="0"/>
                <w:bCs w:val="0"/>
                <w:color w:val="000000"/>
                <w:sz w:val="32"/>
                <w:szCs w:val="32"/>
                <w:highlight w:val="none"/>
                <w:lang w:val="en-US" w:eastAsia="zh-CN"/>
              </w:rPr>
              <w:t>9</w:t>
            </w:r>
            <w:r>
              <w:rPr>
                <w:rFonts w:hint="default" w:ascii="仿宋_GB2312" w:hAnsi="仿宋_GB2312" w:eastAsia="仿宋_GB2312" w:cs="仿宋_GB2312"/>
                <w:b w:val="0"/>
                <w:bCs w:val="0"/>
                <w:color w:val="000000"/>
                <w:sz w:val="32"/>
                <w:szCs w:val="32"/>
                <w:highlight w:val="none"/>
                <w:lang w:val="en-US"/>
              </w:rPr>
              <w:t>%）</w:t>
            </w:r>
          </w:p>
        </w:tc>
        <w:tc>
          <w:tcPr>
            <w:tcW w:w="1579" w:type="dxa"/>
            <w:tcBorders>
              <w:top w:val="nil"/>
              <w:left w:val="nil"/>
              <w:bottom w:val="single" w:color="auto" w:sz="4" w:space="0"/>
              <w:right w:val="single" w:color="auto" w:sz="4" w:space="0"/>
            </w:tcBorders>
            <w:noWrap w:val="0"/>
            <w:vAlign w:val="center"/>
          </w:tcPr>
          <w:p w14:paraId="61AF85B8">
            <w:pPr>
              <w:widowControl/>
              <w:jc w:val="center"/>
              <w:rPr>
                <w:rFonts w:hint="eastAsia" w:ascii="仿宋_GB2312" w:hAnsi="仿宋_GB2312" w:eastAsia="仿宋_GB2312" w:cs="仿宋_GB2312"/>
                <w:color w:val="000000"/>
                <w:kern w:val="0"/>
                <w:sz w:val="32"/>
                <w:szCs w:val="32"/>
                <w:lang w:val="en-US" w:eastAsia="zh-CN"/>
              </w:rPr>
            </w:pPr>
          </w:p>
        </w:tc>
      </w:tr>
    </w:tbl>
    <w:p w14:paraId="6632A72E">
      <w:pPr>
        <w:pStyle w:val="77"/>
        <w:keepLines w:val="0"/>
        <w:spacing w:before="0" w:after="0" w:line="560" w:lineRule="exact"/>
        <w:ind w:left="0" w:firstLine="0"/>
        <w:jc w:val="both"/>
        <w:outlineLvl w:val="9"/>
        <w:rPr>
          <w:rFonts w:hint="eastAsia" w:ascii="仿宋" w:hAnsi="仿宋" w:eastAsia="仿宋" w:cs="仿宋"/>
          <w:szCs w:val="32"/>
          <w:highlight w:val="none"/>
        </w:rPr>
      </w:pPr>
      <w:bookmarkStart w:id="374" w:name="_Toc501008753"/>
      <w:bookmarkStart w:id="375" w:name="_Toc500340445"/>
      <w:bookmarkStart w:id="376" w:name="_Toc500757156"/>
    </w:p>
    <w:p w14:paraId="27952DAE">
      <w:pPr>
        <w:pStyle w:val="77"/>
        <w:keepLines w:val="0"/>
        <w:spacing w:before="0" w:after="0" w:line="560" w:lineRule="exact"/>
        <w:outlineLvl w:val="9"/>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w:t>
      </w:r>
      <w:r>
        <w:rPr>
          <w:rFonts w:hint="eastAsia" w:ascii="仿宋_GB2312" w:eastAsia="仿宋_GB2312"/>
          <w:szCs w:val="32"/>
          <w:highlight w:val="none"/>
        </w:rPr>
        <w:t xml:space="preserve">   </w:t>
      </w:r>
      <w:bookmarkStart w:id="377" w:name="_Toc20079"/>
      <w:r>
        <w:rPr>
          <w:rFonts w:hint="eastAsia" w:ascii="仿宋_GB2312" w:hAnsi="仿宋_GB2312" w:eastAsia="仿宋_GB2312" w:cs="仿宋_GB2312"/>
          <w:szCs w:val="32"/>
          <w:highlight w:val="none"/>
        </w:rPr>
        <w:t>供应商名称（全称并加盖公章）：</w:t>
      </w:r>
      <w:bookmarkEnd w:id="377"/>
      <w:r>
        <w:rPr>
          <w:rFonts w:hint="eastAsia" w:ascii="仿宋_GB2312" w:hAnsi="仿宋_GB2312" w:eastAsia="仿宋_GB2312" w:cs="仿宋_GB2312"/>
          <w:szCs w:val="32"/>
          <w:highlight w:val="none"/>
        </w:rPr>
        <w:t xml:space="preserve"> </w:t>
      </w:r>
    </w:p>
    <w:p w14:paraId="210634F8">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378" w:name="_Toc17238"/>
      <w:r>
        <w:rPr>
          <w:rFonts w:hint="eastAsia" w:ascii="仿宋_GB2312" w:hAnsi="仿宋_GB2312" w:eastAsia="仿宋_GB2312" w:cs="仿宋_GB2312"/>
          <w:szCs w:val="32"/>
          <w:highlight w:val="none"/>
        </w:rPr>
        <w:t>供应商代表签字：</w:t>
      </w:r>
      <w:bookmarkEnd w:id="378"/>
    </w:p>
    <w:p w14:paraId="062ACFE2">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379" w:name="_Toc7295"/>
      <w:r>
        <w:rPr>
          <w:rFonts w:hint="eastAsia" w:ascii="仿宋_GB2312" w:hAnsi="仿宋_GB2312" w:eastAsia="仿宋_GB2312" w:cs="仿宋_GB2312"/>
          <w:szCs w:val="32"/>
          <w:highlight w:val="none"/>
        </w:rPr>
        <w:t>日期：   年   月   日</w:t>
      </w:r>
      <w:bookmarkEnd w:id="379"/>
    </w:p>
    <w:bookmarkEnd w:id="374"/>
    <w:bookmarkEnd w:id="375"/>
    <w:bookmarkEnd w:id="376"/>
    <w:p w14:paraId="3582EA2E">
      <w:pPr>
        <w:pStyle w:val="77"/>
        <w:keepLines w:val="0"/>
        <w:spacing w:before="0" w:after="0" w:line="560" w:lineRule="exact"/>
        <w:ind w:left="0" w:firstLine="4800" w:firstLineChars="1500"/>
        <w:jc w:val="both"/>
        <w:outlineLvl w:val="9"/>
        <w:rPr>
          <w:rFonts w:hint="eastAsia" w:ascii="仿宋_GB2312" w:hAnsi="仿宋_GB2312" w:eastAsia="仿宋_GB2312" w:cs="仿宋_GB2312"/>
          <w:szCs w:val="32"/>
          <w:highlight w:val="none"/>
        </w:rPr>
      </w:pPr>
    </w:p>
    <w:p w14:paraId="7A5EC45E">
      <w:pPr>
        <w:pStyle w:val="77"/>
        <w:keepLines w:val="0"/>
        <w:spacing w:before="0" w:after="0" w:line="560" w:lineRule="exact"/>
        <w:jc w:val="both"/>
        <w:outlineLvl w:val="9"/>
        <w:rPr>
          <w:rFonts w:hint="eastAsia" w:ascii="宋体" w:hAnsi="宋体" w:eastAsia="宋体"/>
          <w:sz w:val="21"/>
          <w:szCs w:val="21"/>
          <w:highlight w:val="none"/>
          <w:u w:val="single"/>
        </w:rPr>
      </w:pPr>
      <w:r>
        <w:rPr>
          <w:rFonts w:hint="eastAsia" w:ascii="仿宋_GB2312" w:hAnsi="仿宋_GB2312" w:eastAsia="仿宋_GB2312" w:cs="仿宋_GB2312"/>
          <w:szCs w:val="32"/>
          <w:highlight w:val="none"/>
        </w:rPr>
        <w:t xml:space="preserve"> </w:t>
      </w:r>
    </w:p>
    <w:p w14:paraId="275A2155">
      <w:pPr>
        <w:pStyle w:val="77"/>
        <w:keepLines w:val="0"/>
        <w:spacing w:before="0" w:after="0" w:line="560" w:lineRule="exact"/>
        <w:ind w:left="0" w:firstLine="0"/>
        <w:jc w:val="both"/>
        <w:outlineLvl w:val="9"/>
        <w:rPr>
          <w:rFonts w:hint="eastAsia" w:ascii="宋体" w:hAnsi="宋体" w:eastAsia="宋体"/>
          <w:sz w:val="21"/>
          <w:szCs w:val="21"/>
          <w:highlight w:val="none"/>
          <w:u w:val="single"/>
        </w:rPr>
        <w:sectPr>
          <w:pgSz w:w="11906" w:h="16838"/>
          <w:pgMar w:top="1418" w:right="1418" w:bottom="964" w:left="1474" w:header="851" w:footer="992" w:gutter="0"/>
          <w:pgNumType w:fmt="numberInDash"/>
          <w:cols w:space="720" w:num="1"/>
          <w:docGrid w:linePitch="312" w:charSpace="0"/>
        </w:sectPr>
      </w:pPr>
    </w:p>
    <w:bookmarkEnd w:id="370"/>
    <w:bookmarkEnd w:id="371"/>
    <w:bookmarkEnd w:id="372"/>
    <w:bookmarkEnd w:id="373"/>
    <w:p w14:paraId="409BED14">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eastAsia="黑体"/>
          <w:kern w:val="44"/>
          <w:sz w:val="32"/>
          <w:szCs w:val="44"/>
          <w:highlight w:val="none"/>
        </w:rPr>
      </w:pPr>
      <w:bookmarkStart w:id="380" w:name="_Toc508286689"/>
      <w:bookmarkStart w:id="381" w:name="_Toc122257637"/>
      <w:bookmarkStart w:id="382" w:name="_Toc10657"/>
      <w:bookmarkStart w:id="383" w:name="_Toc23113"/>
      <w:bookmarkStart w:id="384" w:name="_Toc3014"/>
      <w:bookmarkStart w:id="385" w:name="_Toc20059"/>
      <w:bookmarkStart w:id="386" w:name="_Toc534883411"/>
      <w:bookmarkStart w:id="387" w:name="_Toc409439702"/>
      <w:bookmarkStart w:id="388" w:name="_Toc25725"/>
      <w:bookmarkStart w:id="389" w:name="_Toc122750660"/>
      <w:bookmarkStart w:id="390" w:name="_Toc1153"/>
      <w:bookmarkStart w:id="391" w:name="_Toc4779"/>
      <w:bookmarkStart w:id="392" w:name="_Toc20442"/>
      <w:bookmarkStart w:id="393" w:name="_Toc22675"/>
      <w:bookmarkStart w:id="394" w:name="_Toc22468"/>
      <w:bookmarkStart w:id="395" w:name="_Toc23747"/>
      <w:bookmarkStart w:id="396" w:name="_Toc18674"/>
      <w:bookmarkStart w:id="397" w:name="_Toc279"/>
      <w:bookmarkStart w:id="398" w:name="_Toc17766"/>
      <w:bookmarkStart w:id="399" w:name="_Toc534883369"/>
      <w:r>
        <w:rPr>
          <w:rFonts w:hint="eastAsia" w:ascii="仿宋_GB2312" w:hAnsi="仿宋_GB2312" w:eastAsia="仿宋_GB2312" w:cs="仿宋_GB2312"/>
          <w:b/>
          <w:bCs/>
          <w:kern w:val="44"/>
          <w:sz w:val="44"/>
          <w:szCs w:val="44"/>
          <w:highlight w:val="none"/>
        </w:rPr>
        <w:t>三、供应商法定代表人身份证明书</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8E30091">
      <w:pPr>
        <w:spacing w:line="560" w:lineRule="exact"/>
        <w:rPr>
          <w:rFonts w:ascii="仿宋_GB2312" w:eastAsia="仿宋_GB2312"/>
          <w:sz w:val="32"/>
          <w:szCs w:val="32"/>
          <w:highlight w:val="none"/>
        </w:rPr>
      </w:pPr>
    </w:p>
    <w:p w14:paraId="77998E84">
      <w:pPr>
        <w:spacing w:line="560" w:lineRule="exact"/>
        <w:rPr>
          <w:rFonts w:ascii="仿宋_GB2312" w:eastAsia="仿宋_GB2312"/>
          <w:sz w:val="32"/>
          <w:szCs w:val="32"/>
          <w:highlight w:val="none"/>
        </w:rPr>
      </w:pPr>
      <w:r>
        <w:rPr>
          <w:rFonts w:hint="eastAsia" w:ascii="仿宋_GB2312" w:eastAsia="仿宋_GB2312"/>
          <w:sz w:val="32"/>
          <w:szCs w:val="32"/>
          <w:highlight w:val="none"/>
          <w:lang w:eastAsia="zh-CN"/>
        </w:rPr>
        <w:t>福路通资源循环（福建）有限公司</w:t>
      </w:r>
      <w:r>
        <w:rPr>
          <w:rFonts w:hint="eastAsia" w:ascii="仿宋_GB2312" w:eastAsia="仿宋_GB2312"/>
          <w:sz w:val="32"/>
          <w:szCs w:val="32"/>
          <w:highlight w:val="none"/>
        </w:rPr>
        <w:t>：</w:t>
      </w:r>
    </w:p>
    <w:p w14:paraId="58FD67F8">
      <w:pPr>
        <w:spacing w:line="560" w:lineRule="exact"/>
        <w:ind w:firstLine="800" w:firstLineChars="250"/>
        <w:rPr>
          <w:rFonts w:ascii="仿宋_GB2312" w:eastAsia="仿宋_GB2312"/>
          <w:sz w:val="32"/>
          <w:szCs w:val="32"/>
          <w:highlight w:val="none"/>
          <w:u w:val="single"/>
        </w:rPr>
      </w:pPr>
    </w:p>
    <w:p w14:paraId="0C8A856A">
      <w:pPr>
        <w:spacing w:line="560" w:lineRule="exact"/>
        <w:ind w:firstLine="960" w:firstLineChars="300"/>
        <w:rPr>
          <w:rFonts w:ascii="仿宋_GB2312" w:eastAsia="仿宋_GB2312"/>
          <w:sz w:val="32"/>
          <w:szCs w:val="32"/>
          <w:highlight w:val="none"/>
        </w:rPr>
      </w:pPr>
      <w:r>
        <w:rPr>
          <w:rFonts w:hint="eastAsia" w:ascii="仿宋_GB2312" w:eastAsia="仿宋_GB2312"/>
          <w:sz w:val="32"/>
          <w:szCs w:val="32"/>
          <w:highlight w:val="none"/>
          <w:u w:val="single"/>
        </w:rPr>
        <w:t>兹证明（法定代表人姓名，身份证号）</w:t>
      </w:r>
      <w:r>
        <w:rPr>
          <w:rFonts w:hint="eastAsia" w:ascii="仿宋_GB2312" w:eastAsia="仿宋_GB2312"/>
          <w:sz w:val="32"/>
          <w:szCs w:val="32"/>
          <w:highlight w:val="none"/>
        </w:rPr>
        <w:t>是</w:t>
      </w:r>
      <w:r>
        <w:rPr>
          <w:rFonts w:hint="eastAsia" w:ascii="仿宋_GB2312" w:eastAsia="仿宋_GB2312"/>
          <w:sz w:val="32"/>
          <w:szCs w:val="32"/>
          <w:highlight w:val="none"/>
          <w:u w:val="single"/>
        </w:rPr>
        <w:t xml:space="preserve">     （供应商名称）    </w:t>
      </w:r>
      <w:r>
        <w:rPr>
          <w:rFonts w:hint="eastAsia" w:ascii="仿宋_GB2312" w:eastAsia="仿宋_GB2312"/>
          <w:sz w:val="32"/>
          <w:szCs w:val="32"/>
          <w:highlight w:val="none"/>
        </w:rPr>
        <w:t>的法定代表人，在我司担任</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职务。</w:t>
      </w:r>
    </w:p>
    <w:p w14:paraId="392CF1B3">
      <w:pPr>
        <w:spacing w:line="560" w:lineRule="exact"/>
        <w:rPr>
          <w:rFonts w:ascii="仿宋_GB2312" w:eastAsia="仿宋_GB2312"/>
          <w:sz w:val="32"/>
          <w:szCs w:val="32"/>
          <w:highlight w:val="none"/>
        </w:rPr>
      </w:pPr>
    </w:p>
    <w:p w14:paraId="0C4130BB">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特此证明。</w:t>
      </w:r>
    </w:p>
    <w:p w14:paraId="3BF71B19">
      <w:pPr>
        <w:spacing w:line="560" w:lineRule="exact"/>
        <w:rPr>
          <w:rFonts w:ascii="仿宋_GB2312" w:eastAsia="仿宋_GB2312"/>
          <w:sz w:val="32"/>
          <w:szCs w:val="32"/>
          <w:highlight w:val="none"/>
        </w:rPr>
      </w:pPr>
    </w:p>
    <w:p w14:paraId="11D76B85">
      <w:pPr>
        <w:pStyle w:val="77"/>
        <w:keepLines w:val="0"/>
        <w:spacing w:before="0" w:after="0" w:line="560" w:lineRule="exact"/>
        <w:outlineLvl w:val="9"/>
        <w:rPr>
          <w:rFonts w:hint="eastAsia" w:ascii="仿宋_GB2312" w:hAnsi="仿宋_GB2312" w:eastAsia="仿宋_GB2312" w:cs="仿宋_GB2312"/>
          <w:szCs w:val="32"/>
          <w:highlight w:val="none"/>
        </w:rPr>
      </w:pPr>
      <w:r>
        <w:rPr>
          <w:rFonts w:hint="eastAsia" w:ascii="仿宋_GB2312" w:eastAsia="仿宋_GB2312"/>
          <w:szCs w:val="32"/>
          <w:highlight w:val="none"/>
        </w:rPr>
        <w:t xml:space="preserve">           </w:t>
      </w:r>
      <w:bookmarkStart w:id="400" w:name="_Toc1560"/>
      <w:r>
        <w:rPr>
          <w:rFonts w:hint="eastAsia" w:ascii="仿宋_GB2312" w:hAnsi="仿宋_GB2312" w:eastAsia="仿宋_GB2312" w:cs="仿宋_GB2312"/>
          <w:szCs w:val="32"/>
          <w:highlight w:val="none"/>
        </w:rPr>
        <w:t>供应商名称（全称并加盖公章）：</w:t>
      </w:r>
      <w:bookmarkEnd w:id="400"/>
      <w:r>
        <w:rPr>
          <w:rFonts w:hint="eastAsia" w:ascii="仿宋_GB2312" w:hAnsi="仿宋_GB2312" w:eastAsia="仿宋_GB2312" w:cs="仿宋_GB2312"/>
          <w:szCs w:val="32"/>
          <w:highlight w:val="none"/>
        </w:rPr>
        <w:t xml:space="preserve"> </w:t>
      </w:r>
    </w:p>
    <w:p w14:paraId="10449434">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401" w:name="_Toc21511"/>
      <w:r>
        <w:rPr>
          <w:rFonts w:hint="eastAsia" w:ascii="仿宋_GB2312" w:hAnsi="仿宋_GB2312" w:eastAsia="仿宋_GB2312" w:cs="仿宋_GB2312"/>
          <w:szCs w:val="32"/>
          <w:highlight w:val="none"/>
        </w:rPr>
        <w:t>供应商代表签字：</w:t>
      </w:r>
      <w:bookmarkEnd w:id="401"/>
    </w:p>
    <w:p w14:paraId="31F63BEC">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402" w:name="_Toc19511"/>
      <w:r>
        <w:rPr>
          <w:rFonts w:hint="eastAsia" w:ascii="仿宋_GB2312" w:hAnsi="仿宋_GB2312" w:eastAsia="仿宋_GB2312" w:cs="仿宋_GB2312"/>
          <w:szCs w:val="32"/>
          <w:highlight w:val="none"/>
        </w:rPr>
        <w:t>日期：   年   月   日</w:t>
      </w:r>
      <w:bookmarkEnd w:id="402"/>
    </w:p>
    <w:p w14:paraId="4E65ACF1">
      <w:pPr>
        <w:pStyle w:val="77"/>
        <w:keepLines w:val="0"/>
        <w:spacing w:before="0" w:after="0" w:line="560" w:lineRule="exact"/>
        <w:ind w:left="0" w:firstLine="4800" w:firstLineChars="1500"/>
        <w:jc w:val="both"/>
        <w:outlineLvl w:val="9"/>
        <w:rPr>
          <w:rFonts w:hint="eastAsia" w:ascii="仿宋_GB2312" w:hAnsi="仿宋_GB2312" w:eastAsia="仿宋_GB2312" w:cs="仿宋_GB2312"/>
          <w:szCs w:val="32"/>
          <w:highlight w:val="none"/>
        </w:rPr>
      </w:pPr>
    </w:p>
    <w:p w14:paraId="0FCBF5B6">
      <w:pPr>
        <w:spacing w:line="560" w:lineRule="exact"/>
        <w:rPr>
          <w:rFonts w:ascii="仿宋_GB2312" w:eastAsia="仿宋_GB2312"/>
          <w:sz w:val="32"/>
          <w:szCs w:val="32"/>
          <w:highlight w:val="none"/>
        </w:rPr>
      </w:pPr>
    </w:p>
    <w:p w14:paraId="1E9DF414">
      <w:pPr>
        <w:spacing w:line="560" w:lineRule="exact"/>
        <w:rPr>
          <w:rFonts w:ascii="仿宋_GB2312" w:eastAsia="仿宋_GB2312"/>
          <w:sz w:val="32"/>
          <w:szCs w:val="32"/>
          <w:highlight w:val="none"/>
        </w:rPr>
      </w:pPr>
      <w:r>
        <w:rPr>
          <w:rFonts w:hint="eastAsia" w:ascii="仿宋_GB2312" w:eastAsia="仿宋_GB2312"/>
          <w:sz w:val="32"/>
          <w:szCs w:val="32"/>
          <w:highlight w:val="none"/>
        </w:rPr>
        <w:t xml:space="preserve">                               </w:t>
      </w:r>
    </w:p>
    <w:p w14:paraId="2CA95625">
      <w:pPr>
        <w:spacing w:line="560" w:lineRule="exact"/>
        <w:rPr>
          <w:rFonts w:ascii="仿宋_GB2312" w:eastAsia="仿宋_GB2312"/>
          <w:sz w:val="32"/>
          <w:szCs w:val="32"/>
          <w:highlight w:val="none"/>
        </w:rPr>
      </w:pPr>
    </w:p>
    <w:p w14:paraId="775A89BA">
      <w:pPr>
        <w:spacing w:line="560" w:lineRule="exact"/>
        <w:rPr>
          <w:rFonts w:ascii="仿宋_GB2312" w:eastAsia="仿宋_GB2312"/>
          <w:sz w:val="32"/>
          <w:szCs w:val="32"/>
          <w:highlight w:val="none"/>
        </w:rPr>
      </w:pPr>
    </w:p>
    <w:p w14:paraId="67629EED">
      <w:pPr>
        <w:spacing w:line="560" w:lineRule="exact"/>
        <w:rPr>
          <w:rFonts w:ascii="仿宋_GB2312" w:eastAsia="仿宋_GB2312"/>
          <w:sz w:val="32"/>
          <w:szCs w:val="32"/>
          <w:highlight w:val="none"/>
        </w:rPr>
      </w:pPr>
    </w:p>
    <w:p w14:paraId="4D77DBC3">
      <w:pPr>
        <w:spacing w:line="560" w:lineRule="exact"/>
        <w:rPr>
          <w:rFonts w:ascii="仿宋_GB2312" w:eastAsia="仿宋_GB2312"/>
          <w:sz w:val="32"/>
          <w:szCs w:val="32"/>
          <w:highlight w:val="none"/>
        </w:rPr>
      </w:pPr>
      <w:bookmarkStart w:id="403" w:name="_Toc534883412"/>
      <w:bookmarkStart w:id="404" w:name="_Toc534883370"/>
      <w:bookmarkStart w:id="405" w:name="_Toc409439703"/>
      <w:bookmarkStart w:id="406" w:name="_Toc122257638"/>
      <w:bookmarkStart w:id="407" w:name="_Toc508286690"/>
      <w:bookmarkStart w:id="408" w:name="_Toc122750661"/>
      <w:r>
        <w:rPr>
          <w:rFonts w:hint="eastAsia" w:ascii="仿宋_GB2312" w:eastAsia="仿宋_GB2312"/>
          <w:sz w:val="32"/>
          <w:szCs w:val="32"/>
          <w:highlight w:val="none"/>
        </w:rPr>
        <w:t xml:space="preserve">                   </w:t>
      </w:r>
    </w:p>
    <w:p w14:paraId="0A36B6BD">
      <w:pPr>
        <w:spacing w:line="560" w:lineRule="exact"/>
        <w:rPr>
          <w:rFonts w:ascii="仿宋_GB2312" w:eastAsia="仿宋_GB2312"/>
          <w:sz w:val="32"/>
          <w:szCs w:val="32"/>
          <w:highlight w:val="none"/>
        </w:rPr>
      </w:pPr>
    </w:p>
    <w:p w14:paraId="700D1D8A">
      <w:pPr>
        <w:spacing w:line="560" w:lineRule="exact"/>
        <w:rPr>
          <w:rFonts w:ascii="仿宋_GB2312" w:eastAsia="仿宋_GB2312"/>
          <w:sz w:val="32"/>
          <w:szCs w:val="32"/>
          <w:highlight w:val="none"/>
        </w:rPr>
      </w:pPr>
    </w:p>
    <w:p w14:paraId="42332FC4">
      <w:pPr>
        <w:spacing w:line="560" w:lineRule="exact"/>
        <w:rPr>
          <w:rFonts w:ascii="仿宋_GB2312" w:eastAsia="仿宋_GB2312"/>
          <w:sz w:val="32"/>
          <w:szCs w:val="32"/>
          <w:highlight w:val="none"/>
        </w:rPr>
      </w:pPr>
    </w:p>
    <w:p w14:paraId="40BC5D20">
      <w:pPr>
        <w:spacing w:line="560" w:lineRule="exact"/>
        <w:rPr>
          <w:rFonts w:ascii="仿宋_GB2312" w:eastAsia="仿宋_GB2312"/>
          <w:sz w:val="32"/>
          <w:szCs w:val="32"/>
          <w:highlight w:val="none"/>
        </w:rPr>
      </w:pPr>
    </w:p>
    <w:p w14:paraId="57BBAF95">
      <w:pPr>
        <w:spacing w:line="560" w:lineRule="exact"/>
        <w:rPr>
          <w:rFonts w:ascii="仿宋_GB2312" w:eastAsia="仿宋_GB2312"/>
          <w:sz w:val="32"/>
          <w:szCs w:val="32"/>
          <w:highlight w:val="none"/>
        </w:rPr>
      </w:pPr>
    </w:p>
    <w:p w14:paraId="564BBE0B">
      <w:pPr>
        <w:keepNext w:val="0"/>
        <w:keepLines w:val="0"/>
        <w:pageBreakBefore/>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kern w:val="44"/>
          <w:sz w:val="44"/>
          <w:szCs w:val="44"/>
          <w:highlight w:val="none"/>
        </w:rPr>
      </w:pPr>
      <w:bookmarkStart w:id="409" w:name="_Toc11531"/>
      <w:bookmarkStart w:id="410" w:name="_Toc2959"/>
      <w:r>
        <w:rPr>
          <w:rFonts w:hint="eastAsia" w:ascii="仿宋_GB2312" w:hAnsi="仿宋_GB2312" w:eastAsia="仿宋_GB2312" w:cs="仿宋_GB2312"/>
          <w:b/>
          <w:bCs/>
          <w:kern w:val="44"/>
          <w:sz w:val="44"/>
          <w:szCs w:val="44"/>
          <w:highlight w:val="none"/>
        </w:rPr>
        <w:t>（供应商法定代表人身份证复印件并盖章）</w:t>
      </w:r>
      <w:bookmarkEnd w:id="403"/>
      <w:bookmarkEnd w:id="404"/>
      <w:bookmarkEnd w:id="409"/>
      <w:bookmarkEnd w:id="410"/>
      <w:bookmarkStart w:id="411" w:name="_Toc534883371"/>
      <w:bookmarkStart w:id="412" w:name="_Toc534883413"/>
    </w:p>
    <w:p w14:paraId="32C6A0CF">
      <w:pPr>
        <w:jc w:val="center"/>
        <w:rPr>
          <w:rFonts w:hint="eastAsia" w:ascii="仿宋_GB2312" w:hAnsi="仿宋_GB2312" w:eastAsia="仿宋_GB2312" w:cs="仿宋_GB2312"/>
          <w:b/>
          <w:bCs/>
          <w:kern w:val="44"/>
          <w:sz w:val="44"/>
          <w:szCs w:val="44"/>
          <w:highlight w:val="none"/>
        </w:rPr>
      </w:pPr>
      <w:r>
        <w:rPr>
          <w:rFonts w:hint="eastAsia" w:ascii="仿宋_GB2312" w:hAnsi="仿宋_GB2312" w:eastAsia="仿宋_GB2312" w:cs="仿宋_GB2312"/>
          <w:b/>
          <w:bCs/>
          <w:kern w:val="44"/>
          <w:sz w:val="44"/>
          <w:szCs w:val="44"/>
          <w:highlight w:val="none"/>
        </w:rPr>
        <w:br w:type="page"/>
      </w:r>
    </w:p>
    <w:p w14:paraId="091405DC">
      <w:pPr>
        <w:spacing w:line="560" w:lineRule="exact"/>
        <w:jc w:val="center"/>
        <w:outlineLvl w:val="0"/>
        <w:rPr>
          <w:rFonts w:hint="eastAsia" w:ascii="仿宋_GB2312" w:hAnsi="仿宋_GB2312" w:eastAsia="仿宋_GB2312" w:cs="仿宋_GB2312"/>
          <w:b/>
          <w:bCs/>
          <w:kern w:val="44"/>
          <w:sz w:val="44"/>
          <w:szCs w:val="44"/>
          <w:highlight w:val="none"/>
        </w:rPr>
      </w:pPr>
      <w:bookmarkStart w:id="413" w:name="_Toc19752"/>
      <w:bookmarkStart w:id="414" w:name="_Toc30892"/>
      <w:bookmarkStart w:id="415" w:name="_Toc32278"/>
      <w:bookmarkStart w:id="416" w:name="_Toc11442"/>
      <w:bookmarkStart w:id="417" w:name="_Toc3228"/>
      <w:bookmarkStart w:id="418" w:name="_Toc28281"/>
      <w:bookmarkStart w:id="419" w:name="_Toc26318"/>
      <w:bookmarkStart w:id="420" w:name="_Toc28966"/>
      <w:bookmarkStart w:id="421" w:name="_Toc27266"/>
      <w:bookmarkStart w:id="422" w:name="_Toc7407"/>
      <w:bookmarkStart w:id="423" w:name="_Toc179"/>
      <w:bookmarkStart w:id="424" w:name="_Toc27481"/>
      <w:bookmarkStart w:id="425" w:name="_Toc15360"/>
      <w:bookmarkStart w:id="426" w:name="_Toc9094"/>
      <w:r>
        <w:rPr>
          <w:rFonts w:hint="eastAsia" w:ascii="仿宋_GB2312" w:hAnsi="仿宋_GB2312" w:eastAsia="仿宋_GB2312" w:cs="仿宋_GB2312"/>
          <w:b/>
          <w:bCs/>
          <w:kern w:val="44"/>
          <w:sz w:val="44"/>
          <w:szCs w:val="44"/>
          <w:highlight w:val="none"/>
        </w:rPr>
        <w:t>四、供应商法定代表人授权委托书</w:t>
      </w:r>
      <w:bookmarkEnd w:id="405"/>
      <w:bookmarkEnd w:id="406"/>
      <w:bookmarkEnd w:id="407"/>
      <w:bookmarkEnd w:id="408"/>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60318889">
      <w:pPr>
        <w:spacing w:line="560" w:lineRule="exact"/>
        <w:rPr>
          <w:rFonts w:ascii="仿宋_GB2312" w:eastAsia="仿宋_GB2312"/>
          <w:sz w:val="32"/>
          <w:szCs w:val="32"/>
          <w:highlight w:val="none"/>
        </w:rPr>
      </w:pPr>
    </w:p>
    <w:p w14:paraId="674FD1C6">
      <w:pPr>
        <w:spacing w:line="560" w:lineRule="exact"/>
        <w:rPr>
          <w:rFonts w:ascii="仿宋_GB2312" w:eastAsia="仿宋_GB2312"/>
          <w:sz w:val="32"/>
          <w:szCs w:val="32"/>
          <w:highlight w:val="none"/>
        </w:rPr>
      </w:pPr>
      <w:r>
        <w:rPr>
          <w:rFonts w:hint="eastAsia" w:ascii="仿宋_GB2312" w:eastAsia="仿宋_GB2312"/>
          <w:sz w:val="32"/>
          <w:szCs w:val="32"/>
          <w:highlight w:val="none"/>
          <w:lang w:eastAsia="zh-CN"/>
        </w:rPr>
        <w:t>福路通资源循环（福建）有限公司</w:t>
      </w:r>
      <w:r>
        <w:rPr>
          <w:rFonts w:hint="eastAsia" w:ascii="仿宋_GB2312" w:eastAsia="仿宋_GB2312"/>
          <w:sz w:val="32"/>
          <w:szCs w:val="32"/>
          <w:highlight w:val="none"/>
        </w:rPr>
        <w:t>：</w:t>
      </w:r>
    </w:p>
    <w:p w14:paraId="7C2F893E">
      <w:pPr>
        <w:spacing w:line="560" w:lineRule="exact"/>
        <w:rPr>
          <w:rFonts w:ascii="仿宋_GB2312" w:eastAsia="仿宋_GB2312"/>
          <w:sz w:val="32"/>
          <w:szCs w:val="32"/>
          <w:highlight w:val="none"/>
        </w:rPr>
      </w:pPr>
    </w:p>
    <w:p w14:paraId="46B11A71">
      <w:pPr>
        <w:spacing w:line="560" w:lineRule="exact"/>
        <w:ind w:firstLine="645"/>
        <w:rPr>
          <w:rFonts w:ascii="仿宋_GB2312" w:eastAsia="仿宋_GB2312"/>
          <w:sz w:val="32"/>
          <w:szCs w:val="32"/>
          <w:highlight w:val="none"/>
        </w:rPr>
      </w:pPr>
      <w:r>
        <w:rPr>
          <w:rFonts w:hint="eastAsia" w:ascii="仿宋_GB2312" w:eastAsia="仿宋_GB2312"/>
          <w:color w:val="000000"/>
          <w:sz w:val="32"/>
          <w:szCs w:val="32"/>
          <w:highlight w:val="none"/>
          <w:u w:val="single"/>
        </w:rPr>
        <w:t>（供应商名称）</w:t>
      </w:r>
      <w:r>
        <w:rPr>
          <w:rFonts w:hint="eastAsia" w:ascii="仿宋_GB2312" w:eastAsia="仿宋_GB2312"/>
          <w:sz w:val="32"/>
          <w:szCs w:val="32"/>
          <w:highlight w:val="none"/>
        </w:rPr>
        <w:t>是中华人民共和国合法企业，法定地址</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w:t>
      </w:r>
      <w:r>
        <w:rPr>
          <w:rFonts w:hint="eastAsia" w:ascii="仿宋_GB2312" w:eastAsia="仿宋_GB2312"/>
          <w:color w:val="000000"/>
          <w:sz w:val="32"/>
          <w:szCs w:val="32"/>
          <w:highlight w:val="none"/>
          <w:u w:val="single"/>
        </w:rPr>
        <w:t>（供应商法定代表人姓名）</w:t>
      </w:r>
      <w:r>
        <w:rPr>
          <w:rFonts w:hint="eastAsia" w:ascii="仿宋_GB2312" w:eastAsia="仿宋_GB2312"/>
          <w:sz w:val="32"/>
          <w:szCs w:val="32"/>
          <w:highlight w:val="none"/>
        </w:rPr>
        <w:t>特授权</w:t>
      </w:r>
      <w:r>
        <w:rPr>
          <w:rFonts w:hint="eastAsia" w:ascii="仿宋_GB2312" w:eastAsia="仿宋_GB2312"/>
          <w:sz w:val="32"/>
          <w:szCs w:val="32"/>
          <w:highlight w:val="none"/>
          <w:u w:val="single"/>
        </w:rPr>
        <w:t>（被授权人姓名及身份证号码）</w:t>
      </w:r>
      <w:r>
        <w:rPr>
          <w:rFonts w:hint="eastAsia" w:ascii="仿宋_GB2312" w:eastAsia="仿宋_GB2312"/>
          <w:sz w:val="32"/>
          <w:szCs w:val="32"/>
          <w:highlight w:val="none"/>
        </w:rPr>
        <w:t>代表我单位全权办理对</w:t>
      </w:r>
      <w:r>
        <w:rPr>
          <w:rFonts w:hint="eastAsia" w:ascii="仿宋_GB2312" w:hAnsi="仿宋_GB2312" w:eastAsia="仿宋_GB2312" w:cs="仿宋_GB2312"/>
          <w:sz w:val="32"/>
          <w:szCs w:val="32"/>
          <w:highlight w:val="none"/>
          <w:u w:val="single"/>
          <w:lang w:val="en-US" w:eastAsia="zh-CN"/>
        </w:rPr>
        <w:t>2025-2026年度物流运输服务</w:t>
      </w:r>
      <w:r>
        <w:rPr>
          <w:rFonts w:hint="eastAsia" w:ascii="仿宋_GB2312" w:eastAsia="仿宋_GB2312"/>
          <w:sz w:val="32"/>
          <w:szCs w:val="32"/>
          <w:highlight w:val="none"/>
        </w:rPr>
        <w:t>的报价、签约等具体工作，并签署全部有关的文件、协议及合同。</w:t>
      </w:r>
    </w:p>
    <w:p w14:paraId="135031E7">
      <w:pPr>
        <w:spacing w:line="560" w:lineRule="exact"/>
        <w:ind w:firstLine="645"/>
        <w:rPr>
          <w:rFonts w:ascii="仿宋_GB2312" w:eastAsia="仿宋_GB2312"/>
          <w:sz w:val="32"/>
          <w:szCs w:val="32"/>
          <w:highlight w:val="none"/>
        </w:rPr>
      </w:pPr>
      <w:r>
        <w:rPr>
          <w:rFonts w:hint="eastAsia" w:ascii="仿宋_GB2312" w:eastAsia="仿宋_GB2312"/>
          <w:sz w:val="32"/>
          <w:szCs w:val="32"/>
          <w:highlight w:val="none"/>
        </w:rPr>
        <w:t>我单位对被授权人的签名负全部责任。</w:t>
      </w:r>
    </w:p>
    <w:p w14:paraId="06971E06">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在撤销授权的书面通知以前，本授权书一直有效。被授权人签署的所有文件（在授权书有效期内签署的）不因授权的撤销而失效。</w:t>
      </w:r>
    </w:p>
    <w:p w14:paraId="6E677B02">
      <w:pPr>
        <w:spacing w:line="560" w:lineRule="exact"/>
        <w:rPr>
          <w:rFonts w:ascii="仿宋_GB2312" w:eastAsia="仿宋_GB2312"/>
          <w:sz w:val="32"/>
          <w:szCs w:val="32"/>
          <w:highlight w:val="none"/>
        </w:rPr>
      </w:pPr>
    </w:p>
    <w:p w14:paraId="12E6E9B9">
      <w:pPr>
        <w:spacing w:line="560" w:lineRule="exact"/>
        <w:rPr>
          <w:rFonts w:ascii="仿宋_GB2312" w:eastAsia="仿宋_GB2312"/>
          <w:sz w:val="32"/>
          <w:szCs w:val="32"/>
          <w:highlight w:val="none"/>
        </w:rPr>
      </w:pPr>
      <w:r>
        <w:rPr>
          <w:rFonts w:hint="eastAsia" w:ascii="仿宋_GB2312" w:eastAsia="仿宋_GB2312"/>
          <w:sz w:val="32"/>
          <w:szCs w:val="32"/>
          <w:highlight w:val="none"/>
        </w:rPr>
        <w:t xml:space="preserve">被授权人：（签字）             </w:t>
      </w:r>
    </w:p>
    <w:p w14:paraId="24EA8D50">
      <w:pPr>
        <w:spacing w:line="560" w:lineRule="exact"/>
        <w:rPr>
          <w:rFonts w:ascii="仿宋_GB2312" w:eastAsia="仿宋_GB2312"/>
          <w:sz w:val="32"/>
          <w:szCs w:val="32"/>
          <w:highlight w:val="none"/>
        </w:rPr>
      </w:pPr>
      <w:r>
        <w:rPr>
          <w:rFonts w:hint="eastAsia" w:ascii="仿宋_GB2312" w:eastAsia="仿宋_GB2312"/>
          <w:sz w:val="32"/>
          <w:szCs w:val="32"/>
          <w:highlight w:val="none"/>
        </w:rPr>
        <w:t>供应商法定代表人：（签字并盖公章）</w:t>
      </w:r>
    </w:p>
    <w:p w14:paraId="553BF5FA">
      <w:pPr>
        <w:spacing w:line="560" w:lineRule="exact"/>
        <w:rPr>
          <w:rFonts w:ascii="仿宋_GB2312" w:eastAsia="仿宋_GB2312"/>
          <w:sz w:val="32"/>
          <w:szCs w:val="32"/>
          <w:highlight w:val="none"/>
        </w:rPr>
      </w:pPr>
    </w:p>
    <w:p w14:paraId="78584F55">
      <w:pPr>
        <w:spacing w:line="560" w:lineRule="exact"/>
        <w:rPr>
          <w:rFonts w:ascii="仿宋_GB2312" w:eastAsia="仿宋_GB2312"/>
          <w:sz w:val="32"/>
          <w:szCs w:val="32"/>
          <w:highlight w:val="none"/>
        </w:rPr>
      </w:pPr>
      <w:r>
        <w:rPr>
          <w:rFonts w:hint="eastAsia" w:ascii="仿宋_GB2312" w:eastAsia="仿宋_GB2312"/>
          <w:sz w:val="32"/>
          <w:szCs w:val="32"/>
          <w:highlight w:val="none"/>
        </w:rPr>
        <w:t xml:space="preserve">                           </w:t>
      </w:r>
    </w:p>
    <w:p w14:paraId="6EE87613">
      <w:pPr>
        <w:spacing w:line="560" w:lineRule="exact"/>
        <w:rPr>
          <w:rFonts w:ascii="仿宋_GB2312" w:eastAsia="仿宋_GB2312"/>
          <w:sz w:val="32"/>
          <w:szCs w:val="32"/>
          <w:highlight w:val="none"/>
        </w:rPr>
      </w:pPr>
    </w:p>
    <w:p w14:paraId="67069D07">
      <w:pPr>
        <w:spacing w:line="560" w:lineRule="exact"/>
        <w:rPr>
          <w:rFonts w:ascii="仿宋_GB2312" w:eastAsia="仿宋_GB2312"/>
          <w:sz w:val="32"/>
          <w:szCs w:val="32"/>
          <w:highlight w:val="none"/>
        </w:rPr>
      </w:pPr>
    </w:p>
    <w:p w14:paraId="03C30591">
      <w:pPr>
        <w:spacing w:line="560" w:lineRule="exact"/>
        <w:rPr>
          <w:rFonts w:ascii="仿宋_GB2312" w:eastAsia="仿宋_GB2312"/>
          <w:sz w:val="32"/>
          <w:szCs w:val="32"/>
          <w:highlight w:val="none"/>
        </w:rPr>
      </w:pPr>
    </w:p>
    <w:p w14:paraId="6BB92DFE">
      <w:pPr>
        <w:spacing w:line="560" w:lineRule="exact"/>
        <w:rPr>
          <w:rFonts w:ascii="仿宋_GB2312" w:eastAsia="仿宋_GB2312"/>
          <w:sz w:val="32"/>
          <w:szCs w:val="32"/>
          <w:highlight w:val="none"/>
        </w:rPr>
      </w:pPr>
    </w:p>
    <w:p w14:paraId="6A03349B">
      <w:pPr>
        <w:spacing w:line="560" w:lineRule="exact"/>
        <w:rPr>
          <w:rFonts w:ascii="仿宋_GB2312" w:eastAsia="仿宋_GB2312"/>
          <w:sz w:val="32"/>
          <w:szCs w:val="32"/>
          <w:highlight w:val="none"/>
        </w:rPr>
      </w:pPr>
    </w:p>
    <w:p w14:paraId="180610CD">
      <w:pPr>
        <w:keepNext w:val="0"/>
        <w:keepLines w:val="0"/>
        <w:pageBreakBefore/>
        <w:widowControl w:val="0"/>
        <w:kinsoku/>
        <w:wordWrap/>
        <w:overflowPunct/>
        <w:topLinePunct w:val="0"/>
        <w:autoSpaceDE/>
        <w:autoSpaceDN/>
        <w:bidi w:val="0"/>
        <w:adjustRightInd/>
        <w:snapToGrid/>
        <w:jc w:val="center"/>
        <w:textAlignment w:val="auto"/>
        <w:rPr>
          <w:rFonts w:ascii="仿宋_GB2312" w:hAnsi="仿宋_GB2312" w:eastAsia="仿宋_GB2312" w:cs="仿宋_GB2312"/>
          <w:b/>
          <w:bCs/>
          <w:sz w:val="44"/>
          <w:szCs w:val="44"/>
          <w:highlight w:val="none"/>
        </w:rPr>
      </w:pPr>
      <w:bookmarkStart w:id="427" w:name="_Toc4209"/>
      <w:bookmarkStart w:id="428" w:name="_Toc2201"/>
      <w:bookmarkStart w:id="429" w:name="_Toc20925"/>
      <w:bookmarkStart w:id="430" w:name="_Toc11899"/>
      <w:r>
        <w:rPr>
          <w:rFonts w:hint="eastAsia" w:ascii="仿宋_GB2312" w:hAnsi="仿宋_GB2312" w:eastAsia="仿宋_GB2312" w:cs="仿宋_GB2312"/>
          <w:b/>
          <w:bCs/>
          <w:kern w:val="44"/>
          <w:sz w:val="44"/>
          <w:szCs w:val="44"/>
          <w:highlight w:val="none"/>
        </w:rPr>
        <w:t>（供应商被授权人身份证复印件</w:t>
      </w:r>
      <w:bookmarkStart w:id="431" w:name="_Toc122257640"/>
      <w:bookmarkStart w:id="432" w:name="_Toc122750662"/>
      <w:bookmarkStart w:id="433" w:name="_Toc508286691"/>
      <w:bookmarkStart w:id="434" w:name="_Toc409439704"/>
      <w:r>
        <w:rPr>
          <w:rFonts w:hint="eastAsia" w:ascii="仿宋_GB2312" w:hAnsi="仿宋_GB2312" w:eastAsia="仿宋_GB2312" w:cs="仿宋_GB2312"/>
          <w:b/>
          <w:bCs/>
          <w:kern w:val="44"/>
          <w:sz w:val="44"/>
          <w:szCs w:val="44"/>
          <w:highlight w:val="none"/>
        </w:rPr>
        <w:t>并盖章）</w:t>
      </w:r>
      <w:bookmarkEnd w:id="427"/>
      <w:bookmarkEnd w:id="428"/>
      <w:bookmarkEnd w:id="429"/>
      <w:bookmarkEnd w:id="430"/>
    </w:p>
    <w:p w14:paraId="3BBF50EE">
      <w:pPr>
        <w:spacing w:line="560" w:lineRule="exact"/>
        <w:rPr>
          <w:rFonts w:ascii="仿宋_GB2312" w:eastAsia="仿宋_GB2312"/>
          <w:sz w:val="32"/>
          <w:szCs w:val="32"/>
          <w:highlight w:val="none"/>
        </w:rPr>
      </w:pPr>
    </w:p>
    <w:p w14:paraId="359086BD">
      <w:pPr>
        <w:spacing w:line="560" w:lineRule="exact"/>
        <w:rPr>
          <w:rFonts w:ascii="仿宋_GB2312" w:eastAsia="仿宋_GB2312"/>
          <w:sz w:val="32"/>
          <w:szCs w:val="32"/>
          <w:highlight w:val="none"/>
        </w:rPr>
      </w:pPr>
    </w:p>
    <w:p w14:paraId="048DD70E">
      <w:pPr>
        <w:spacing w:line="560" w:lineRule="exact"/>
        <w:rPr>
          <w:rFonts w:ascii="仿宋_GB2312" w:eastAsia="仿宋_GB2312"/>
          <w:sz w:val="32"/>
          <w:szCs w:val="32"/>
          <w:highlight w:val="none"/>
        </w:rPr>
      </w:pPr>
    </w:p>
    <w:p w14:paraId="507FF81F">
      <w:pPr>
        <w:spacing w:line="560" w:lineRule="exact"/>
        <w:rPr>
          <w:rFonts w:ascii="仿宋_GB2312" w:eastAsia="仿宋_GB2312"/>
          <w:sz w:val="32"/>
          <w:szCs w:val="32"/>
          <w:highlight w:val="none"/>
        </w:rPr>
      </w:pPr>
    </w:p>
    <w:p w14:paraId="585E9467">
      <w:pPr>
        <w:spacing w:line="560" w:lineRule="exact"/>
        <w:rPr>
          <w:rFonts w:ascii="仿宋_GB2312" w:eastAsia="仿宋_GB2312"/>
          <w:sz w:val="32"/>
          <w:szCs w:val="32"/>
          <w:highlight w:val="none"/>
        </w:rPr>
      </w:pPr>
    </w:p>
    <w:p w14:paraId="3F7016C6">
      <w:pPr>
        <w:spacing w:line="560" w:lineRule="exact"/>
        <w:rPr>
          <w:rFonts w:ascii="仿宋_GB2312" w:eastAsia="仿宋_GB2312"/>
          <w:sz w:val="32"/>
          <w:szCs w:val="32"/>
          <w:highlight w:val="none"/>
        </w:rPr>
      </w:pPr>
    </w:p>
    <w:p w14:paraId="4A267E39">
      <w:pPr>
        <w:spacing w:line="560" w:lineRule="exact"/>
        <w:rPr>
          <w:rFonts w:ascii="仿宋_GB2312" w:eastAsia="仿宋_GB2312"/>
          <w:sz w:val="32"/>
          <w:szCs w:val="32"/>
          <w:highlight w:val="none"/>
        </w:rPr>
      </w:pPr>
    </w:p>
    <w:p w14:paraId="41C537CF">
      <w:pPr>
        <w:spacing w:line="560" w:lineRule="exact"/>
        <w:rPr>
          <w:rFonts w:ascii="仿宋_GB2312" w:eastAsia="仿宋_GB2312"/>
          <w:sz w:val="32"/>
          <w:szCs w:val="32"/>
          <w:highlight w:val="none"/>
        </w:rPr>
      </w:pPr>
    </w:p>
    <w:p w14:paraId="45FAD7A4">
      <w:pPr>
        <w:spacing w:line="560" w:lineRule="exact"/>
        <w:rPr>
          <w:rFonts w:ascii="仿宋_GB2312" w:eastAsia="仿宋_GB2312"/>
          <w:sz w:val="32"/>
          <w:szCs w:val="32"/>
          <w:highlight w:val="none"/>
        </w:rPr>
      </w:pPr>
    </w:p>
    <w:p w14:paraId="432F8771">
      <w:pPr>
        <w:spacing w:line="560" w:lineRule="exact"/>
        <w:rPr>
          <w:rFonts w:ascii="仿宋_GB2312" w:eastAsia="仿宋_GB2312"/>
          <w:sz w:val="32"/>
          <w:szCs w:val="32"/>
          <w:highlight w:val="none"/>
        </w:rPr>
      </w:pPr>
    </w:p>
    <w:p w14:paraId="3AF4E3F8">
      <w:pPr>
        <w:keepNext w:val="0"/>
        <w:keepLines w:val="0"/>
        <w:pageBreakBefore/>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bCs/>
          <w:sz w:val="44"/>
          <w:highlight w:val="none"/>
        </w:rPr>
      </w:pPr>
      <w:bookmarkStart w:id="435" w:name="_Toc23922"/>
      <w:bookmarkStart w:id="436" w:name="_Toc22759"/>
      <w:bookmarkStart w:id="437" w:name="_Toc534883372"/>
      <w:bookmarkStart w:id="438" w:name="_Toc1898"/>
      <w:bookmarkStart w:id="439" w:name="_Toc917"/>
      <w:bookmarkStart w:id="440" w:name="_Toc26202"/>
      <w:bookmarkStart w:id="441" w:name="_Toc21115"/>
      <w:bookmarkStart w:id="442" w:name="_Toc18709"/>
      <w:bookmarkStart w:id="443" w:name="_Toc6452"/>
      <w:bookmarkStart w:id="444" w:name="_Toc18855"/>
      <w:bookmarkStart w:id="445" w:name="_Toc534883414"/>
      <w:bookmarkStart w:id="446" w:name="_Toc22524"/>
      <w:bookmarkStart w:id="447" w:name="_Toc22403"/>
      <w:bookmarkStart w:id="448" w:name="_Toc10390"/>
      <w:bookmarkStart w:id="449" w:name="_Toc201"/>
      <w:bookmarkStart w:id="450" w:name="_Toc5400"/>
      <w:bookmarkStart w:id="451" w:name="OLE_LINK12"/>
      <w:r>
        <w:rPr>
          <w:rFonts w:hint="eastAsia" w:ascii="仿宋_GB2312" w:hAnsi="仿宋_GB2312" w:eastAsia="仿宋_GB2312" w:cs="仿宋_GB2312"/>
          <w:b/>
          <w:bCs/>
          <w:kern w:val="44"/>
          <w:sz w:val="44"/>
          <w:szCs w:val="44"/>
          <w:highlight w:val="none"/>
        </w:rPr>
        <w:t>五、</w:t>
      </w:r>
      <w:bookmarkEnd w:id="431"/>
      <w:bookmarkEnd w:id="432"/>
      <w:r>
        <w:rPr>
          <w:rFonts w:hint="eastAsia" w:ascii="仿宋_GB2312" w:hAnsi="仿宋_GB2312" w:eastAsia="仿宋_GB2312" w:cs="仿宋_GB2312"/>
          <w:b/>
          <w:bCs/>
          <w:kern w:val="44"/>
          <w:sz w:val="44"/>
          <w:szCs w:val="44"/>
          <w:highlight w:val="none"/>
        </w:rPr>
        <w:t>资质文件</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5FDA723D">
      <w:pPr>
        <w:pStyle w:val="29"/>
        <w:numPr>
          <w:ilvl w:val="255"/>
          <w:numId w:val="0"/>
        </w:numPr>
        <w:spacing w:line="560" w:lineRule="exact"/>
        <w:ind w:left="840" w:leftChars="400"/>
        <w:rPr>
          <w:rFonts w:hint="eastAsia"/>
          <w:highlight w:val="none"/>
        </w:rPr>
      </w:pPr>
    </w:p>
    <w:bookmarkEnd w:id="451"/>
    <w:p w14:paraId="5A5D837F">
      <w:pPr>
        <w:spacing w:line="560" w:lineRule="exact"/>
        <w:rPr>
          <w:rFonts w:ascii="仿宋_GB2312" w:eastAsia="仿宋_GB2312"/>
          <w:sz w:val="32"/>
          <w:szCs w:val="32"/>
          <w:highlight w:val="none"/>
        </w:rPr>
      </w:pPr>
      <w:r>
        <w:rPr>
          <w:rFonts w:hint="eastAsia" w:ascii="仿宋_GB2312" w:eastAsia="仿宋_GB2312"/>
          <w:sz w:val="32"/>
          <w:szCs w:val="32"/>
          <w:highlight w:val="none"/>
        </w:rPr>
        <w:t>供应商需提供以下资质文件：</w:t>
      </w:r>
    </w:p>
    <w:p w14:paraId="508A8A35">
      <w:pPr>
        <w:spacing w:line="560" w:lineRule="exact"/>
        <w:rPr>
          <w:rFonts w:ascii="仿宋_GB2312" w:eastAsia="仿宋_GB2312"/>
          <w:sz w:val="32"/>
          <w:szCs w:val="32"/>
          <w:highlight w:val="none"/>
        </w:rPr>
      </w:pPr>
      <w:r>
        <w:rPr>
          <w:rFonts w:hint="eastAsia" w:ascii="仿宋_GB2312" w:eastAsia="仿宋_GB2312"/>
          <w:sz w:val="32"/>
          <w:szCs w:val="32"/>
          <w:highlight w:val="none"/>
        </w:rPr>
        <w:t>有效的工商营业执照副本复印件、税务登记证副本复印件（或提供三证合一的工商营业执照副本复印件）</w:t>
      </w:r>
    </w:p>
    <w:p w14:paraId="6DE502BF">
      <w:pPr>
        <w:spacing w:line="560" w:lineRule="exact"/>
        <w:rPr>
          <w:rFonts w:ascii="仿宋_GB2312" w:eastAsia="仿宋_GB2312"/>
          <w:sz w:val="32"/>
          <w:szCs w:val="32"/>
          <w:highlight w:val="none"/>
        </w:rPr>
      </w:pPr>
    </w:p>
    <w:p w14:paraId="05A73E05">
      <w:pPr>
        <w:spacing w:line="560" w:lineRule="exact"/>
        <w:rPr>
          <w:rFonts w:ascii="仿宋_GB2312" w:eastAsia="仿宋_GB2312"/>
          <w:sz w:val="32"/>
          <w:szCs w:val="32"/>
          <w:highlight w:val="none"/>
        </w:rPr>
      </w:pPr>
      <w:r>
        <w:rPr>
          <w:rFonts w:hint="eastAsia" w:ascii="仿宋_GB2312" w:eastAsia="仿宋_GB2312"/>
          <w:sz w:val="32"/>
          <w:szCs w:val="32"/>
          <w:highlight w:val="none"/>
        </w:rPr>
        <w:t>以上资料</w:t>
      </w:r>
      <w:bookmarkStart w:id="452" w:name="OLE_LINK13"/>
      <w:r>
        <w:rPr>
          <w:rFonts w:hint="eastAsia" w:ascii="仿宋_GB2312" w:eastAsia="仿宋_GB2312"/>
          <w:sz w:val="32"/>
          <w:szCs w:val="32"/>
          <w:highlight w:val="none"/>
        </w:rPr>
        <w:t>复印件加盖公章</w:t>
      </w:r>
      <w:bookmarkEnd w:id="452"/>
      <w:r>
        <w:rPr>
          <w:rFonts w:hint="eastAsia" w:ascii="仿宋_GB2312" w:eastAsia="仿宋_GB2312"/>
          <w:sz w:val="32"/>
          <w:szCs w:val="32"/>
          <w:highlight w:val="none"/>
        </w:rPr>
        <w:t>，装订为响应文件的一部分。</w:t>
      </w:r>
    </w:p>
    <w:p w14:paraId="7C02F731">
      <w:pPr>
        <w:spacing w:line="560" w:lineRule="exact"/>
        <w:rPr>
          <w:rFonts w:ascii="仿宋_GB2312" w:eastAsia="仿宋_GB2312"/>
          <w:sz w:val="32"/>
          <w:szCs w:val="32"/>
          <w:highlight w:val="none"/>
        </w:rPr>
      </w:pPr>
    </w:p>
    <w:p w14:paraId="18D2078B">
      <w:pPr>
        <w:spacing w:line="560" w:lineRule="exact"/>
        <w:rPr>
          <w:rFonts w:ascii="仿宋_GB2312" w:eastAsia="仿宋_GB2312"/>
          <w:sz w:val="32"/>
          <w:szCs w:val="32"/>
          <w:highlight w:val="none"/>
        </w:rPr>
      </w:pPr>
    </w:p>
    <w:p w14:paraId="4C7812F9">
      <w:pPr>
        <w:spacing w:line="560" w:lineRule="exact"/>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br w:type="page"/>
      </w:r>
    </w:p>
    <w:p w14:paraId="357CAC21">
      <w:pPr>
        <w:keepNext w:val="0"/>
        <w:keepLines w:val="0"/>
        <w:pageBreakBefore/>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bCs/>
          <w:kern w:val="44"/>
          <w:sz w:val="44"/>
          <w:szCs w:val="44"/>
          <w:highlight w:val="none"/>
        </w:rPr>
      </w:pPr>
      <w:bookmarkStart w:id="453" w:name="_Toc26328"/>
      <w:bookmarkStart w:id="454" w:name="_Toc17405"/>
      <w:bookmarkStart w:id="455" w:name="_Toc28230"/>
      <w:bookmarkStart w:id="456" w:name="_Toc15993"/>
      <w:bookmarkStart w:id="457" w:name="_Toc8818"/>
      <w:bookmarkStart w:id="458" w:name="_Toc3538"/>
      <w:bookmarkStart w:id="459" w:name="_Toc20229"/>
      <w:bookmarkStart w:id="460" w:name="_Toc5528"/>
      <w:bookmarkStart w:id="461" w:name="_Toc14434"/>
      <w:bookmarkStart w:id="462" w:name="_Toc22981"/>
      <w:bookmarkStart w:id="463" w:name="_Toc21267"/>
      <w:bookmarkStart w:id="464" w:name="_Toc29598"/>
      <w:bookmarkStart w:id="465" w:name="_Toc31507"/>
      <w:bookmarkStart w:id="466" w:name="_Toc5331"/>
      <w:bookmarkStart w:id="467" w:name="OLE_LINK15"/>
      <w:r>
        <w:rPr>
          <w:rFonts w:hint="eastAsia" w:ascii="仿宋_GB2312" w:hAnsi="仿宋_GB2312" w:eastAsia="仿宋_GB2312" w:cs="仿宋_GB2312"/>
          <w:b/>
          <w:bCs/>
          <w:kern w:val="44"/>
          <w:sz w:val="44"/>
          <w:szCs w:val="44"/>
          <w:highlight w:val="none"/>
          <w:lang w:val="en-US" w:eastAsia="zh-CN"/>
        </w:rPr>
        <w:t>六</w:t>
      </w:r>
      <w:r>
        <w:rPr>
          <w:rFonts w:hint="eastAsia" w:ascii="仿宋_GB2312" w:hAnsi="仿宋_GB2312" w:eastAsia="仿宋_GB2312" w:cs="仿宋_GB2312"/>
          <w:b/>
          <w:bCs/>
          <w:kern w:val="44"/>
          <w:sz w:val="44"/>
          <w:szCs w:val="44"/>
          <w:highlight w:val="none"/>
        </w:rPr>
        <w:t>、其他文件</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bookmarkEnd w:id="467"/>
    <w:p w14:paraId="0AE44762">
      <w:pPr>
        <w:wordWrap w:val="0"/>
        <w:spacing w:line="560" w:lineRule="exact"/>
        <w:ind w:firstLine="640" w:firstLineChars="200"/>
        <w:rPr>
          <w:rFonts w:ascii="仿宋_GB2312" w:eastAsia="仿宋_GB2312"/>
          <w:sz w:val="32"/>
          <w:szCs w:val="32"/>
          <w:highlight w:val="none"/>
        </w:rPr>
      </w:pPr>
    </w:p>
    <w:p w14:paraId="72932276">
      <w:pPr>
        <w:wordWrap w:val="0"/>
        <w:spacing w:line="56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1.</w:t>
      </w:r>
      <w:r>
        <w:rPr>
          <w:rFonts w:hint="eastAsia" w:ascii="仿宋_GB2312" w:eastAsia="仿宋_GB2312"/>
          <w:sz w:val="32"/>
          <w:szCs w:val="32"/>
          <w:highlight w:val="none"/>
        </w:rPr>
        <w:t>投标保证金（银行回执单，复印件加盖公章）</w:t>
      </w:r>
      <w:r>
        <w:rPr>
          <w:rFonts w:hint="eastAsia" w:ascii="仿宋_GB2312" w:eastAsia="仿宋_GB2312"/>
          <w:sz w:val="32"/>
          <w:szCs w:val="32"/>
          <w:highlight w:val="none"/>
          <w:lang w:eastAsia="zh-CN"/>
        </w:rPr>
        <w:t>。</w:t>
      </w:r>
    </w:p>
    <w:p w14:paraId="700CC884">
      <w:pPr>
        <w:numPr>
          <w:ilvl w:val="0"/>
          <w:numId w:val="0"/>
        </w:numPr>
        <w:wordWrap w:val="0"/>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2.自有至少3辆13米高栏货车</w:t>
      </w:r>
      <w:r>
        <w:rPr>
          <w:rFonts w:hint="eastAsia" w:ascii="仿宋_GB2312" w:hAnsi="仿宋_GB2312" w:eastAsia="仿宋_GB2312" w:cs="仿宋_GB2312"/>
          <w:sz w:val="32"/>
          <w:szCs w:val="32"/>
          <w:highlight w:val="none"/>
        </w:rPr>
        <w:t>相关证明材料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包括车辆设备购置发票</w:t>
      </w:r>
      <w:r>
        <w:rPr>
          <w:rFonts w:hint="eastAsia" w:ascii="仿宋_GB2312" w:hAnsi="仿宋_GB2312" w:eastAsia="仿宋_GB2312" w:cs="仿宋_GB2312"/>
          <w:sz w:val="32"/>
          <w:szCs w:val="32"/>
          <w:highlight w:val="none"/>
          <w:lang w:eastAsia="zh-CN"/>
        </w:rPr>
        <w:t>彩色</w:t>
      </w:r>
      <w:r>
        <w:rPr>
          <w:rFonts w:hint="eastAsia" w:ascii="仿宋_GB2312" w:hAnsi="仿宋_GB2312" w:eastAsia="仿宋_GB2312" w:cs="仿宋_GB2312"/>
          <w:sz w:val="32"/>
          <w:szCs w:val="32"/>
          <w:highlight w:val="none"/>
          <w:lang w:val="en-US" w:eastAsia="zh-CN"/>
        </w:rPr>
        <w:t>复印件</w:t>
      </w:r>
      <w:r>
        <w:rPr>
          <w:rFonts w:hint="eastAsia" w:ascii="仿宋_GB2312" w:hAnsi="仿宋_GB2312" w:eastAsia="仿宋_GB2312" w:cs="仿宋_GB2312"/>
          <w:sz w:val="32"/>
          <w:szCs w:val="32"/>
          <w:highlight w:val="none"/>
        </w:rPr>
        <w:t>。</w:t>
      </w:r>
    </w:p>
    <w:p w14:paraId="74B26199">
      <w:pPr>
        <w:numPr>
          <w:ilvl w:val="0"/>
          <w:numId w:val="0"/>
        </w:numPr>
        <w:wordWrap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eastAsia="仿宋_GB2312"/>
          <w:sz w:val="32"/>
          <w:szCs w:val="32"/>
          <w:highlight w:val="none"/>
          <w:lang w:val="en-US" w:eastAsia="zh-CN"/>
        </w:rPr>
        <w:t>3.</w:t>
      </w:r>
      <w:r>
        <w:rPr>
          <w:rFonts w:hint="eastAsia" w:ascii="仿宋_GB2312" w:hAnsi="仿宋_GB2312" w:eastAsia="仿宋_GB2312" w:cs="仿宋_GB2312"/>
          <w:color w:val="000000"/>
          <w:sz w:val="32"/>
          <w:szCs w:val="32"/>
          <w:highlight w:val="none"/>
        </w:rPr>
        <w:t>近2年内未被国家企业信用信息公示系统列入经营异常名录或者严重违法失信名单的（应提供企业在国家企业信用信息公示系统http://www.gsxt.gov.cn中公示的“企业信用信息”之“基础信息”“列入经营异常名录”“列入严重违法失信企业名单（黑名单）信息”（网页截图））。</w:t>
      </w:r>
    </w:p>
    <w:p w14:paraId="7A57126E">
      <w:pPr>
        <w:wordWrap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.企业、法定代表人未被列入失信被执行人名单（应提供企业、企业法定代表人在中国执行信息公开网http://zxgk.court.gov.cn中“综合查询被执行人-全国法院”查询的信息（网页截图））。</w:t>
      </w:r>
    </w:p>
    <w:p w14:paraId="3D4650CC">
      <w:pPr>
        <w:wordWrap w:val="0"/>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sz w:val="32"/>
          <w:szCs w:val="32"/>
          <w:highlight w:val="none"/>
          <w:lang w:val="en-US" w:eastAsia="zh-CN"/>
        </w:rPr>
        <w:t>《道路运输经营许可证》（复印件加盖公章）。</w:t>
      </w:r>
    </w:p>
    <w:p w14:paraId="1873DB0B">
      <w:pPr>
        <w:wordWrap w:val="0"/>
        <w:spacing w:line="560" w:lineRule="exact"/>
        <w:ind w:firstLine="640" w:firstLineChars="200"/>
        <w:rPr>
          <w:rFonts w:hint="eastAsia" w:ascii="仿宋_GB2312" w:hAnsi="仿宋_GB2312" w:eastAsia="仿宋_GB2312" w:cs="仿宋_GB2312"/>
          <w:highlight w:val="none"/>
        </w:rPr>
      </w:pPr>
      <w:bookmarkStart w:id="468" w:name="_Toc9936"/>
      <w:bookmarkStart w:id="469" w:name="_Toc23094"/>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.供应商认为应提交的其他材料，可在此附件中提交。</w:t>
      </w:r>
      <w:bookmarkEnd w:id="468"/>
      <w:bookmarkEnd w:id="469"/>
    </w:p>
    <w:p w14:paraId="2FA6FB5B">
      <w:pPr>
        <w:spacing w:line="560" w:lineRule="exact"/>
        <w:rPr>
          <w:rFonts w:ascii="仿宋_GB2312" w:eastAsia="仿宋_GB2312"/>
          <w:sz w:val="32"/>
          <w:szCs w:val="32"/>
          <w:highlight w:val="none"/>
        </w:rPr>
      </w:pPr>
    </w:p>
    <w:p w14:paraId="30E84110">
      <w:pPr>
        <w:spacing w:line="560" w:lineRule="exact"/>
        <w:rPr>
          <w:rFonts w:ascii="仿宋_GB2312" w:eastAsia="仿宋_GB2312"/>
          <w:sz w:val="32"/>
          <w:szCs w:val="32"/>
          <w:highlight w:val="none"/>
        </w:rPr>
      </w:pPr>
      <w:bookmarkStart w:id="487" w:name="_GoBack"/>
      <w:bookmarkEnd w:id="487"/>
    </w:p>
    <w:p w14:paraId="454CCEF4">
      <w:pPr>
        <w:keepNext w:val="0"/>
        <w:keepLines w:val="0"/>
        <w:pageBreakBefore/>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bCs/>
          <w:kern w:val="44"/>
          <w:sz w:val="44"/>
          <w:szCs w:val="44"/>
          <w:highlight w:val="none"/>
        </w:rPr>
      </w:pPr>
      <w:bookmarkStart w:id="470" w:name="_Toc5215"/>
      <w:bookmarkStart w:id="471" w:name="_Toc2473"/>
      <w:bookmarkStart w:id="472" w:name="_Toc596"/>
      <w:bookmarkStart w:id="473" w:name="_Toc24342"/>
      <w:bookmarkStart w:id="474" w:name="_Toc21651"/>
      <w:bookmarkStart w:id="475" w:name="_Toc26733"/>
      <w:bookmarkStart w:id="476" w:name="_Toc10848"/>
      <w:bookmarkStart w:id="477" w:name="_Toc6028"/>
      <w:bookmarkStart w:id="478" w:name="_Toc20128"/>
      <w:bookmarkStart w:id="479" w:name="_Toc5232"/>
      <w:bookmarkStart w:id="480" w:name="_Toc3644"/>
      <w:bookmarkStart w:id="481" w:name="_Toc11413"/>
      <w:bookmarkStart w:id="482" w:name="_Toc968"/>
      <w:bookmarkStart w:id="483" w:name="_Toc28031"/>
      <w:r>
        <w:rPr>
          <w:rFonts w:hint="eastAsia" w:ascii="仿宋_GB2312" w:hAnsi="仿宋_GB2312" w:eastAsia="仿宋_GB2312" w:cs="仿宋_GB2312"/>
          <w:b/>
          <w:bCs/>
          <w:kern w:val="44"/>
          <w:sz w:val="44"/>
          <w:szCs w:val="44"/>
          <w:highlight w:val="none"/>
          <w:lang w:val="en-US" w:eastAsia="zh-CN"/>
        </w:rPr>
        <w:t>七</w:t>
      </w:r>
      <w:r>
        <w:rPr>
          <w:rFonts w:hint="eastAsia" w:ascii="仿宋_GB2312" w:hAnsi="仿宋_GB2312" w:eastAsia="仿宋_GB2312" w:cs="仿宋_GB2312"/>
          <w:b/>
          <w:bCs/>
          <w:kern w:val="44"/>
          <w:sz w:val="44"/>
          <w:szCs w:val="44"/>
          <w:highlight w:val="none"/>
        </w:rPr>
        <w:t>、供应商廉政保证书</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2EAC4593">
      <w:pPr>
        <w:spacing w:line="560" w:lineRule="exact"/>
        <w:rPr>
          <w:rFonts w:hint="eastAsia" w:ascii="宋体" w:hAnsi="宋体"/>
          <w:b/>
          <w:bCs/>
          <w:highlight w:val="none"/>
        </w:rPr>
      </w:pPr>
    </w:p>
    <w:p w14:paraId="21F5F790">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w:t>
      </w:r>
    </w:p>
    <w:p w14:paraId="74271D03">
      <w:pPr>
        <w:spacing w:line="560" w:lineRule="exact"/>
        <w:ind w:firstLine="640" w:firstLineChars="200"/>
        <w:rPr>
          <w:rFonts w:hint="eastAsia" w:ascii="仿宋_GB2312" w:hAnsi="仿宋_GB2312" w:eastAsia="仿宋_GB2312" w:cs="仿宋_GB2312"/>
          <w:sz w:val="32"/>
          <w:szCs w:val="32"/>
          <w:highlight w:val="none"/>
        </w:rPr>
      </w:pPr>
    </w:p>
    <w:p w14:paraId="1B90E3CB">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为了积极配合贵公司进行</w:t>
      </w:r>
      <w:r>
        <w:rPr>
          <w:rFonts w:hint="eastAsia" w:ascii="仿宋_GB2312" w:hAnsi="仿宋_GB2312" w:eastAsia="仿宋_GB2312" w:cs="仿宋_GB2312"/>
          <w:sz w:val="32"/>
          <w:szCs w:val="32"/>
          <w:highlight w:val="none"/>
          <w:u w:val="single"/>
          <w:lang w:val="en-US" w:eastAsia="zh-CN"/>
        </w:rPr>
        <w:t>2025-2026年度物流运输服务</w:t>
      </w:r>
      <w:r>
        <w:rPr>
          <w:rFonts w:hint="eastAsia" w:ascii="仿宋_GB2312" w:hAnsi="仿宋_GB2312" w:eastAsia="仿宋_GB2312" w:cs="仿宋_GB2312"/>
          <w:sz w:val="32"/>
          <w:szCs w:val="32"/>
          <w:highlight w:val="none"/>
        </w:rPr>
        <w:t>询价工作，确保此次询价工作的公平、公正、公开，我们保证认真贯彻国家有关廉政和询价报价的有关规定，特向贵公司承诺如下事项：</w:t>
      </w:r>
    </w:p>
    <w:p w14:paraId="207FA53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1.不以任何方式向采购人和询价</w:t>
      </w:r>
      <w:r>
        <w:rPr>
          <w:rFonts w:hint="eastAsia" w:ascii="仿宋_GB2312" w:hAnsi="仿宋_GB2312" w:eastAsia="仿宋_GB2312" w:cs="仿宋_GB2312"/>
          <w:sz w:val="32"/>
          <w:szCs w:val="32"/>
          <w:highlight w:val="none"/>
          <w:lang w:eastAsia="zh-CN"/>
        </w:rPr>
        <w:t>小组</w:t>
      </w:r>
      <w:r>
        <w:rPr>
          <w:rFonts w:hint="eastAsia" w:ascii="仿宋_GB2312" w:hAnsi="仿宋_GB2312" w:eastAsia="仿宋_GB2312" w:cs="仿宋_GB2312"/>
          <w:sz w:val="32"/>
          <w:szCs w:val="32"/>
          <w:highlight w:val="none"/>
        </w:rPr>
        <w:t>的任何人赠送礼品、礼金及有价证券；</w:t>
      </w:r>
    </w:p>
    <w:p w14:paraId="5BF1C08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2.不宴请采购人的任何人或请采购人的任何人参加高消费的娱乐活动以及旅游、考察、参观等；</w:t>
      </w:r>
    </w:p>
    <w:p w14:paraId="64734EC2">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3.不以任何形式报销采购人的任何人以及亲友的各种票据及费用；</w:t>
      </w:r>
    </w:p>
    <w:p w14:paraId="36A15B45">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4.不进行可能影响报价公平、公正的任何活动；</w:t>
      </w:r>
    </w:p>
    <w:p w14:paraId="67372408">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5.如违反上述承诺，愿接受取消报价资格及其他任何形式的处理。</w:t>
      </w:r>
    </w:p>
    <w:p w14:paraId="496E2910">
      <w:pPr>
        <w:spacing w:line="560" w:lineRule="exact"/>
        <w:rPr>
          <w:rFonts w:hint="eastAsia" w:ascii="仿宋_GB2312" w:hAnsi="仿宋_GB2312" w:eastAsia="仿宋_GB2312" w:cs="仿宋_GB2312"/>
          <w:sz w:val="32"/>
          <w:szCs w:val="32"/>
          <w:highlight w:val="none"/>
        </w:rPr>
      </w:pPr>
    </w:p>
    <w:p w14:paraId="222A22B5">
      <w:pPr>
        <w:pStyle w:val="77"/>
        <w:keepLines w:val="0"/>
        <w:spacing w:before="0" w:after="0" w:line="560" w:lineRule="exact"/>
        <w:outlineLvl w:val="9"/>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w:t>
      </w:r>
      <w:bookmarkStart w:id="484" w:name="_Toc30489"/>
      <w:r>
        <w:rPr>
          <w:rFonts w:hint="eastAsia" w:ascii="仿宋_GB2312" w:hAnsi="仿宋_GB2312" w:eastAsia="仿宋_GB2312" w:cs="仿宋_GB2312"/>
          <w:szCs w:val="32"/>
          <w:highlight w:val="none"/>
        </w:rPr>
        <w:t>供应商名称（全称并加盖公章）：</w:t>
      </w:r>
      <w:bookmarkEnd w:id="484"/>
      <w:r>
        <w:rPr>
          <w:rFonts w:hint="eastAsia" w:ascii="仿宋_GB2312" w:hAnsi="仿宋_GB2312" w:eastAsia="仿宋_GB2312" w:cs="仿宋_GB2312"/>
          <w:szCs w:val="32"/>
          <w:highlight w:val="none"/>
        </w:rPr>
        <w:t xml:space="preserve"> </w:t>
      </w:r>
    </w:p>
    <w:p w14:paraId="45822FB4">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485" w:name="_Toc20433"/>
      <w:r>
        <w:rPr>
          <w:rFonts w:hint="eastAsia" w:ascii="仿宋_GB2312" w:hAnsi="仿宋_GB2312" w:eastAsia="仿宋_GB2312" w:cs="仿宋_GB2312"/>
          <w:szCs w:val="32"/>
          <w:highlight w:val="none"/>
        </w:rPr>
        <w:t>供应商代表签字：</w:t>
      </w:r>
      <w:bookmarkEnd w:id="485"/>
    </w:p>
    <w:p w14:paraId="2E6CDDD7">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486" w:name="_Toc16002"/>
      <w:r>
        <w:rPr>
          <w:rFonts w:hint="eastAsia" w:ascii="仿宋_GB2312" w:hAnsi="仿宋_GB2312" w:eastAsia="仿宋_GB2312" w:cs="仿宋_GB2312"/>
          <w:szCs w:val="32"/>
          <w:highlight w:val="none"/>
        </w:rPr>
        <w:t>日期：   年   月   日</w:t>
      </w:r>
      <w:bookmarkEnd w:id="486"/>
    </w:p>
    <w:p w14:paraId="21874598">
      <w:pPr>
        <w:spacing w:line="560" w:lineRule="exact"/>
        <w:rPr>
          <w:rFonts w:ascii="仿宋_GB2312" w:eastAsia="仿宋_GB2312"/>
          <w:sz w:val="32"/>
          <w:szCs w:val="32"/>
          <w:highlight w:val="none"/>
        </w:rPr>
      </w:pPr>
    </w:p>
    <w:p w14:paraId="5D858C71">
      <w:pPr>
        <w:spacing w:line="560" w:lineRule="exact"/>
        <w:rPr>
          <w:rFonts w:ascii="仿宋_GB2312" w:eastAsia="仿宋_GB2312"/>
          <w:sz w:val="32"/>
          <w:szCs w:val="32"/>
          <w:highlight w:val="none"/>
        </w:rPr>
      </w:pPr>
    </w:p>
    <w:p w14:paraId="771862B4">
      <w:pPr>
        <w:spacing w:line="560" w:lineRule="exact"/>
        <w:rPr>
          <w:rFonts w:ascii="仿宋_GB2312" w:eastAsia="仿宋_GB2312"/>
          <w:sz w:val="32"/>
          <w:szCs w:val="32"/>
          <w:highlight w:val="none"/>
        </w:rPr>
      </w:pPr>
    </w:p>
    <w:sectPr>
      <w:pgSz w:w="11906" w:h="16838"/>
      <w:pgMar w:top="1701" w:right="1474" w:bottom="113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报宋">
    <w:altName w:val="方正书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D6A47">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E318FC1">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BombLAQAAl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1AaJmywEAAJcDAAAOAAAAAAAAAAEAIAAAACIBAABkcnMv&#10;ZTJvRG9jLnhtbFBLBQYAAAAABgAGAFkBAABfBQAAAAA=&#10;">
              <v:fill on="f" focussize="0,0"/>
              <v:stroke on="f" weight="1.25pt"/>
              <v:imagedata o:title=""/>
              <o:lock v:ext="edit" aspectratio="f"/>
              <v:textbox inset="0mm,0mm,0mm,0mm" style="mso-fit-shape-to-text:t;">
                <w:txbxContent>
                  <w:p w14:paraId="6E318FC1">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6ADBA"/>
    <w:multiLevelType w:val="singleLevel"/>
    <w:tmpl w:val="C276ADBA"/>
    <w:lvl w:ilvl="0" w:tentative="0">
      <w:start w:val="1"/>
      <w:numFmt w:val="decimal"/>
      <w:suff w:val="nothing"/>
      <w:lvlText w:val="（%1）"/>
      <w:lvlJc w:val="left"/>
      <w:pPr>
        <w:ind w:left="160" w:leftChars="0" w:firstLine="0" w:firstLineChars="0"/>
      </w:pPr>
    </w:lvl>
  </w:abstractNum>
  <w:abstractNum w:abstractNumId="1">
    <w:nsid w:val="00000010"/>
    <w:multiLevelType w:val="multilevel"/>
    <w:tmpl w:val="0000001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864" w:hanging="864"/>
      </w:pPr>
      <w:rPr>
        <w:rFonts w:hint="eastAsia"/>
      </w:rPr>
    </w:lvl>
    <w:lvl w:ilvl="4" w:tentative="0">
      <w:start w:val="1"/>
      <w:numFmt w:val="decimal"/>
      <w:pStyle w:val="6"/>
      <w:lvlText w:val="%1.%2.%3.%4.%5"/>
      <w:lvlJc w:val="left"/>
      <w:pPr>
        <w:tabs>
          <w:tab w:val="left" w:pos="1440"/>
        </w:tabs>
        <w:ind w:left="1008" w:hanging="1008"/>
      </w:pPr>
      <w:rPr>
        <w:rFonts w:hint="eastAsia"/>
      </w:rPr>
    </w:lvl>
    <w:lvl w:ilvl="5" w:tentative="0">
      <w:start w:val="1"/>
      <w:numFmt w:val="decimal"/>
      <w:pStyle w:val="7"/>
      <w:lvlText w:val="%1.%2.%3.%4.%5.%6"/>
      <w:lvlJc w:val="left"/>
      <w:pPr>
        <w:tabs>
          <w:tab w:val="left" w:pos="1800"/>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2AA33C4"/>
    <w:multiLevelType w:val="singleLevel"/>
    <w:tmpl w:val="12AA33C4"/>
    <w:lvl w:ilvl="0" w:tentative="0">
      <w:start w:val="2"/>
      <w:numFmt w:val="chineseCounting"/>
      <w:suff w:val="nothing"/>
      <w:lvlText w:val="%1、"/>
      <w:lvlJc w:val="left"/>
      <w:rPr>
        <w:rFonts w:hint="eastAsia"/>
      </w:rPr>
    </w:lvl>
  </w:abstractNum>
  <w:abstractNum w:abstractNumId="3">
    <w:nsid w:val="3A9CA514"/>
    <w:multiLevelType w:val="singleLevel"/>
    <w:tmpl w:val="3A9CA514"/>
    <w:lvl w:ilvl="0" w:tentative="0">
      <w:start w:val="1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ZmNjMmQxMGNlNjZmNjczMWJlZGYwNDc0MmNlOWMifQ=="/>
  </w:docVars>
  <w:rsids>
    <w:rsidRoot w:val="00172A27"/>
    <w:rsid w:val="00000A21"/>
    <w:rsid w:val="000014E7"/>
    <w:rsid w:val="00005E43"/>
    <w:rsid w:val="00005FF7"/>
    <w:rsid w:val="0000754C"/>
    <w:rsid w:val="00010E3A"/>
    <w:rsid w:val="000120A7"/>
    <w:rsid w:val="000121AF"/>
    <w:rsid w:val="000147F5"/>
    <w:rsid w:val="00015E2E"/>
    <w:rsid w:val="0001672F"/>
    <w:rsid w:val="00017B7E"/>
    <w:rsid w:val="00021297"/>
    <w:rsid w:val="00025FAA"/>
    <w:rsid w:val="0002621F"/>
    <w:rsid w:val="00030EF4"/>
    <w:rsid w:val="00031E88"/>
    <w:rsid w:val="000342A8"/>
    <w:rsid w:val="000344BA"/>
    <w:rsid w:val="000345DB"/>
    <w:rsid w:val="0003529D"/>
    <w:rsid w:val="00036B7C"/>
    <w:rsid w:val="0003703F"/>
    <w:rsid w:val="000370A4"/>
    <w:rsid w:val="000443A5"/>
    <w:rsid w:val="000462EC"/>
    <w:rsid w:val="00046C4C"/>
    <w:rsid w:val="000522F8"/>
    <w:rsid w:val="000543DB"/>
    <w:rsid w:val="00055B78"/>
    <w:rsid w:val="00061053"/>
    <w:rsid w:val="000624A7"/>
    <w:rsid w:val="00064527"/>
    <w:rsid w:val="00064647"/>
    <w:rsid w:val="000658BC"/>
    <w:rsid w:val="00065EAD"/>
    <w:rsid w:val="000673A5"/>
    <w:rsid w:val="00071E4B"/>
    <w:rsid w:val="0007461E"/>
    <w:rsid w:val="00083DFF"/>
    <w:rsid w:val="00084138"/>
    <w:rsid w:val="00086EEB"/>
    <w:rsid w:val="000936C4"/>
    <w:rsid w:val="00094031"/>
    <w:rsid w:val="00095087"/>
    <w:rsid w:val="00095582"/>
    <w:rsid w:val="000A2284"/>
    <w:rsid w:val="000A2441"/>
    <w:rsid w:val="000A38A9"/>
    <w:rsid w:val="000A456E"/>
    <w:rsid w:val="000A50AE"/>
    <w:rsid w:val="000A51C8"/>
    <w:rsid w:val="000A537A"/>
    <w:rsid w:val="000B4573"/>
    <w:rsid w:val="000B66C7"/>
    <w:rsid w:val="000B7F72"/>
    <w:rsid w:val="000C039F"/>
    <w:rsid w:val="000C3592"/>
    <w:rsid w:val="000C3C22"/>
    <w:rsid w:val="000C766F"/>
    <w:rsid w:val="000D2185"/>
    <w:rsid w:val="000D472B"/>
    <w:rsid w:val="000D67FF"/>
    <w:rsid w:val="000E0CD0"/>
    <w:rsid w:val="000E1D23"/>
    <w:rsid w:val="000E2349"/>
    <w:rsid w:val="000E34DA"/>
    <w:rsid w:val="000E64D5"/>
    <w:rsid w:val="000F3C9C"/>
    <w:rsid w:val="000F3FFF"/>
    <w:rsid w:val="000F5BF9"/>
    <w:rsid w:val="000F60BA"/>
    <w:rsid w:val="000F76D0"/>
    <w:rsid w:val="001028A5"/>
    <w:rsid w:val="001119D3"/>
    <w:rsid w:val="00116A6E"/>
    <w:rsid w:val="00116B88"/>
    <w:rsid w:val="00121392"/>
    <w:rsid w:val="00122B8A"/>
    <w:rsid w:val="001256B9"/>
    <w:rsid w:val="00126F52"/>
    <w:rsid w:val="00130BFD"/>
    <w:rsid w:val="001317D7"/>
    <w:rsid w:val="0013209F"/>
    <w:rsid w:val="00132419"/>
    <w:rsid w:val="001329E6"/>
    <w:rsid w:val="001372C5"/>
    <w:rsid w:val="00137514"/>
    <w:rsid w:val="00140A92"/>
    <w:rsid w:val="00144674"/>
    <w:rsid w:val="0014545A"/>
    <w:rsid w:val="00146B2A"/>
    <w:rsid w:val="00147096"/>
    <w:rsid w:val="00157CDE"/>
    <w:rsid w:val="00163C84"/>
    <w:rsid w:val="00164318"/>
    <w:rsid w:val="001644A9"/>
    <w:rsid w:val="00166A9A"/>
    <w:rsid w:val="00167471"/>
    <w:rsid w:val="00171AC2"/>
    <w:rsid w:val="00172A27"/>
    <w:rsid w:val="0017310B"/>
    <w:rsid w:val="001773F9"/>
    <w:rsid w:val="001808E2"/>
    <w:rsid w:val="001839F4"/>
    <w:rsid w:val="00187E70"/>
    <w:rsid w:val="00192263"/>
    <w:rsid w:val="0019348A"/>
    <w:rsid w:val="00194A15"/>
    <w:rsid w:val="00194B84"/>
    <w:rsid w:val="0019748A"/>
    <w:rsid w:val="001A1919"/>
    <w:rsid w:val="001A228C"/>
    <w:rsid w:val="001A388D"/>
    <w:rsid w:val="001A573C"/>
    <w:rsid w:val="001A6598"/>
    <w:rsid w:val="001A7270"/>
    <w:rsid w:val="001A7548"/>
    <w:rsid w:val="001B182A"/>
    <w:rsid w:val="001B2073"/>
    <w:rsid w:val="001C0626"/>
    <w:rsid w:val="001C152E"/>
    <w:rsid w:val="001C16F8"/>
    <w:rsid w:val="001C1726"/>
    <w:rsid w:val="001D47DC"/>
    <w:rsid w:val="001D5025"/>
    <w:rsid w:val="001D54CE"/>
    <w:rsid w:val="001D6CFC"/>
    <w:rsid w:val="001D751F"/>
    <w:rsid w:val="001D7FA0"/>
    <w:rsid w:val="001E5B23"/>
    <w:rsid w:val="001F01CE"/>
    <w:rsid w:val="001F0F81"/>
    <w:rsid w:val="001F1817"/>
    <w:rsid w:val="001F2385"/>
    <w:rsid w:val="001F2769"/>
    <w:rsid w:val="00201C10"/>
    <w:rsid w:val="00201F4D"/>
    <w:rsid w:val="00202367"/>
    <w:rsid w:val="00203298"/>
    <w:rsid w:val="00204318"/>
    <w:rsid w:val="0020592C"/>
    <w:rsid w:val="002073A1"/>
    <w:rsid w:val="00210F78"/>
    <w:rsid w:val="00211CB8"/>
    <w:rsid w:val="00212D41"/>
    <w:rsid w:val="00215294"/>
    <w:rsid w:val="00215718"/>
    <w:rsid w:val="002162D5"/>
    <w:rsid w:val="0022063A"/>
    <w:rsid w:val="00222801"/>
    <w:rsid w:val="002234B7"/>
    <w:rsid w:val="0022765C"/>
    <w:rsid w:val="00231A17"/>
    <w:rsid w:val="00231EA8"/>
    <w:rsid w:val="0023718D"/>
    <w:rsid w:val="002402A3"/>
    <w:rsid w:val="00245548"/>
    <w:rsid w:val="002462A8"/>
    <w:rsid w:val="002469D5"/>
    <w:rsid w:val="00246C73"/>
    <w:rsid w:val="00252235"/>
    <w:rsid w:val="0025296E"/>
    <w:rsid w:val="002541D1"/>
    <w:rsid w:val="00254791"/>
    <w:rsid w:val="00254818"/>
    <w:rsid w:val="00254A05"/>
    <w:rsid w:val="00255A7C"/>
    <w:rsid w:val="002566AE"/>
    <w:rsid w:val="00260895"/>
    <w:rsid w:val="00262F25"/>
    <w:rsid w:val="00272247"/>
    <w:rsid w:val="0027242C"/>
    <w:rsid w:val="00280D4B"/>
    <w:rsid w:val="0028200E"/>
    <w:rsid w:val="00282DFB"/>
    <w:rsid w:val="00283427"/>
    <w:rsid w:val="00283448"/>
    <w:rsid w:val="00286C09"/>
    <w:rsid w:val="002879F3"/>
    <w:rsid w:val="0029245B"/>
    <w:rsid w:val="00293250"/>
    <w:rsid w:val="00295942"/>
    <w:rsid w:val="002A0963"/>
    <w:rsid w:val="002A19B9"/>
    <w:rsid w:val="002A5803"/>
    <w:rsid w:val="002A76AB"/>
    <w:rsid w:val="002B067C"/>
    <w:rsid w:val="002B3C11"/>
    <w:rsid w:val="002B587B"/>
    <w:rsid w:val="002B58A3"/>
    <w:rsid w:val="002B59D9"/>
    <w:rsid w:val="002B6923"/>
    <w:rsid w:val="002B798C"/>
    <w:rsid w:val="002C02BF"/>
    <w:rsid w:val="002C0F47"/>
    <w:rsid w:val="002C1A6A"/>
    <w:rsid w:val="002C5AB4"/>
    <w:rsid w:val="002C60C8"/>
    <w:rsid w:val="002D1B01"/>
    <w:rsid w:val="002D42B3"/>
    <w:rsid w:val="002D4A4E"/>
    <w:rsid w:val="002D5950"/>
    <w:rsid w:val="002E14B6"/>
    <w:rsid w:val="002E5B77"/>
    <w:rsid w:val="002F53F7"/>
    <w:rsid w:val="002F773E"/>
    <w:rsid w:val="002F7A0D"/>
    <w:rsid w:val="002F7FD6"/>
    <w:rsid w:val="00304DA8"/>
    <w:rsid w:val="00305C3A"/>
    <w:rsid w:val="00307653"/>
    <w:rsid w:val="00307B25"/>
    <w:rsid w:val="00314005"/>
    <w:rsid w:val="003146B5"/>
    <w:rsid w:val="0031499F"/>
    <w:rsid w:val="00321581"/>
    <w:rsid w:val="00322764"/>
    <w:rsid w:val="00322ED0"/>
    <w:rsid w:val="00325E4A"/>
    <w:rsid w:val="00326787"/>
    <w:rsid w:val="00333D0F"/>
    <w:rsid w:val="003363FD"/>
    <w:rsid w:val="00337270"/>
    <w:rsid w:val="003447CE"/>
    <w:rsid w:val="00345E79"/>
    <w:rsid w:val="003508B7"/>
    <w:rsid w:val="00352C0A"/>
    <w:rsid w:val="003558D9"/>
    <w:rsid w:val="0035590B"/>
    <w:rsid w:val="00355FEF"/>
    <w:rsid w:val="00357D0B"/>
    <w:rsid w:val="00360F07"/>
    <w:rsid w:val="00361A0E"/>
    <w:rsid w:val="0036317D"/>
    <w:rsid w:val="0036333A"/>
    <w:rsid w:val="00363841"/>
    <w:rsid w:val="003643CF"/>
    <w:rsid w:val="00364D47"/>
    <w:rsid w:val="00371DCD"/>
    <w:rsid w:val="00372068"/>
    <w:rsid w:val="0037405B"/>
    <w:rsid w:val="0039165E"/>
    <w:rsid w:val="00391844"/>
    <w:rsid w:val="0039244C"/>
    <w:rsid w:val="00394C13"/>
    <w:rsid w:val="00395FF0"/>
    <w:rsid w:val="003A0C62"/>
    <w:rsid w:val="003A4F33"/>
    <w:rsid w:val="003A65E4"/>
    <w:rsid w:val="003B049E"/>
    <w:rsid w:val="003B3B9F"/>
    <w:rsid w:val="003B70D7"/>
    <w:rsid w:val="003C01DD"/>
    <w:rsid w:val="003C12DA"/>
    <w:rsid w:val="003C543E"/>
    <w:rsid w:val="003C54A5"/>
    <w:rsid w:val="003C5ADE"/>
    <w:rsid w:val="003C70FE"/>
    <w:rsid w:val="003D0805"/>
    <w:rsid w:val="003D0907"/>
    <w:rsid w:val="003D1EC1"/>
    <w:rsid w:val="003D3D43"/>
    <w:rsid w:val="003D3FB8"/>
    <w:rsid w:val="003D6212"/>
    <w:rsid w:val="003D636D"/>
    <w:rsid w:val="003D651A"/>
    <w:rsid w:val="003E06C0"/>
    <w:rsid w:val="003E35ED"/>
    <w:rsid w:val="003E7337"/>
    <w:rsid w:val="003F2BFD"/>
    <w:rsid w:val="004008BC"/>
    <w:rsid w:val="0040274E"/>
    <w:rsid w:val="00407F21"/>
    <w:rsid w:val="00410084"/>
    <w:rsid w:val="00411004"/>
    <w:rsid w:val="00411F87"/>
    <w:rsid w:val="0041285B"/>
    <w:rsid w:val="00413C7B"/>
    <w:rsid w:val="00414474"/>
    <w:rsid w:val="00415DA2"/>
    <w:rsid w:val="00416443"/>
    <w:rsid w:val="00423E56"/>
    <w:rsid w:val="00424B80"/>
    <w:rsid w:val="00426BBB"/>
    <w:rsid w:val="0042795B"/>
    <w:rsid w:val="00427E30"/>
    <w:rsid w:val="004321D8"/>
    <w:rsid w:val="00432A6A"/>
    <w:rsid w:val="00437B90"/>
    <w:rsid w:val="00444C09"/>
    <w:rsid w:val="004451F8"/>
    <w:rsid w:val="00446A8B"/>
    <w:rsid w:val="004518F3"/>
    <w:rsid w:val="004526E9"/>
    <w:rsid w:val="004569EB"/>
    <w:rsid w:val="004609D1"/>
    <w:rsid w:val="0046163D"/>
    <w:rsid w:val="0046749E"/>
    <w:rsid w:val="004705C8"/>
    <w:rsid w:val="0047148B"/>
    <w:rsid w:val="00471C65"/>
    <w:rsid w:val="00472EC8"/>
    <w:rsid w:val="004737D7"/>
    <w:rsid w:val="00473895"/>
    <w:rsid w:val="00475D9C"/>
    <w:rsid w:val="00480662"/>
    <w:rsid w:val="00480D8B"/>
    <w:rsid w:val="00481406"/>
    <w:rsid w:val="00482745"/>
    <w:rsid w:val="0048466E"/>
    <w:rsid w:val="0048594F"/>
    <w:rsid w:val="00486324"/>
    <w:rsid w:val="00486553"/>
    <w:rsid w:val="004907AC"/>
    <w:rsid w:val="00490D3E"/>
    <w:rsid w:val="00491872"/>
    <w:rsid w:val="004960A6"/>
    <w:rsid w:val="00496A23"/>
    <w:rsid w:val="00496CBB"/>
    <w:rsid w:val="00497A93"/>
    <w:rsid w:val="004A1307"/>
    <w:rsid w:val="004A4727"/>
    <w:rsid w:val="004A6782"/>
    <w:rsid w:val="004B4D9D"/>
    <w:rsid w:val="004B6F9B"/>
    <w:rsid w:val="004B72E3"/>
    <w:rsid w:val="004C1828"/>
    <w:rsid w:val="004C18BA"/>
    <w:rsid w:val="004C3ED4"/>
    <w:rsid w:val="004C56FE"/>
    <w:rsid w:val="004C5A05"/>
    <w:rsid w:val="004C6406"/>
    <w:rsid w:val="004C6A02"/>
    <w:rsid w:val="004D10BE"/>
    <w:rsid w:val="004D1569"/>
    <w:rsid w:val="004D1660"/>
    <w:rsid w:val="004D6A0E"/>
    <w:rsid w:val="004D6F31"/>
    <w:rsid w:val="004D7253"/>
    <w:rsid w:val="004D7EE6"/>
    <w:rsid w:val="004E0F3E"/>
    <w:rsid w:val="004E33A3"/>
    <w:rsid w:val="004E434B"/>
    <w:rsid w:val="004E43CE"/>
    <w:rsid w:val="004E7FEF"/>
    <w:rsid w:val="004F4053"/>
    <w:rsid w:val="004F5F9C"/>
    <w:rsid w:val="00500D3F"/>
    <w:rsid w:val="00501AA3"/>
    <w:rsid w:val="00504AE8"/>
    <w:rsid w:val="00512E0E"/>
    <w:rsid w:val="00513940"/>
    <w:rsid w:val="00515861"/>
    <w:rsid w:val="00515FC8"/>
    <w:rsid w:val="005163B0"/>
    <w:rsid w:val="0051647C"/>
    <w:rsid w:val="0051746C"/>
    <w:rsid w:val="00520C8B"/>
    <w:rsid w:val="005211AF"/>
    <w:rsid w:val="00524200"/>
    <w:rsid w:val="00525F4A"/>
    <w:rsid w:val="005263E7"/>
    <w:rsid w:val="0052658B"/>
    <w:rsid w:val="00526B9A"/>
    <w:rsid w:val="005307F9"/>
    <w:rsid w:val="00530DEB"/>
    <w:rsid w:val="00531C60"/>
    <w:rsid w:val="005324DC"/>
    <w:rsid w:val="00533079"/>
    <w:rsid w:val="0053366D"/>
    <w:rsid w:val="00534F49"/>
    <w:rsid w:val="00540D2E"/>
    <w:rsid w:val="00543541"/>
    <w:rsid w:val="00543CBD"/>
    <w:rsid w:val="005450AB"/>
    <w:rsid w:val="005470BA"/>
    <w:rsid w:val="00554ABF"/>
    <w:rsid w:val="00554C1A"/>
    <w:rsid w:val="005571A3"/>
    <w:rsid w:val="005602CC"/>
    <w:rsid w:val="00561435"/>
    <w:rsid w:val="00564404"/>
    <w:rsid w:val="00565C3B"/>
    <w:rsid w:val="005735DF"/>
    <w:rsid w:val="00574698"/>
    <w:rsid w:val="00575138"/>
    <w:rsid w:val="00580BFE"/>
    <w:rsid w:val="005812D4"/>
    <w:rsid w:val="00581BCB"/>
    <w:rsid w:val="005822FB"/>
    <w:rsid w:val="0058283E"/>
    <w:rsid w:val="00582966"/>
    <w:rsid w:val="00590DCB"/>
    <w:rsid w:val="00591202"/>
    <w:rsid w:val="0059125A"/>
    <w:rsid w:val="00591F12"/>
    <w:rsid w:val="00592E35"/>
    <w:rsid w:val="005932DD"/>
    <w:rsid w:val="005946C6"/>
    <w:rsid w:val="005953B2"/>
    <w:rsid w:val="0059610E"/>
    <w:rsid w:val="005A0266"/>
    <w:rsid w:val="005A0B01"/>
    <w:rsid w:val="005A249B"/>
    <w:rsid w:val="005A26C9"/>
    <w:rsid w:val="005A4580"/>
    <w:rsid w:val="005A51A7"/>
    <w:rsid w:val="005A60B1"/>
    <w:rsid w:val="005A7F40"/>
    <w:rsid w:val="005B02F6"/>
    <w:rsid w:val="005B28F3"/>
    <w:rsid w:val="005B73DA"/>
    <w:rsid w:val="005C3552"/>
    <w:rsid w:val="005C4DAB"/>
    <w:rsid w:val="005C71C2"/>
    <w:rsid w:val="005D3900"/>
    <w:rsid w:val="005D3CD6"/>
    <w:rsid w:val="005D44F5"/>
    <w:rsid w:val="005D4579"/>
    <w:rsid w:val="005D46D8"/>
    <w:rsid w:val="005E0F8E"/>
    <w:rsid w:val="005E2199"/>
    <w:rsid w:val="005E232E"/>
    <w:rsid w:val="005E28BC"/>
    <w:rsid w:val="005E3712"/>
    <w:rsid w:val="005F00BC"/>
    <w:rsid w:val="005F4E58"/>
    <w:rsid w:val="005F5CF8"/>
    <w:rsid w:val="0060364D"/>
    <w:rsid w:val="00605819"/>
    <w:rsid w:val="00605A1C"/>
    <w:rsid w:val="00605B75"/>
    <w:rsid w:val="00605BBB"/>
    <w:rsid w:val="0060725F"/>
    <w:rsid w:val="00611752"/>
    <w:rsid w:val="00611CC3"/>
    <w:rsid w:val="006139D1"/>
    <w:rsid w:val="006146F0"/>
    <w:rsid w:val="006154AA"/>
    <w:rsid w:val="00617493"/>
    <w:rsid w:val="00621300"/>
    <w:rsid w:val="00621FB4"/>
    <w:rsid w:val="00623428"/>
    <w:rsid w:val="006253B4"/>
    <w:rsid w:val="00626C74"/>
    <w:rsid w:val="00630239"/>
    <w:rsid w:val="00632D64"/>
    <w:rsid w:val="0063440E"/>
    <w:rsid w:val="00636E14"/>
    <w:rsid w:val="006460E6"/>
    <w:rsid w:val="00646C63"/>
    <w:rsid w:val="00646FC0"/>
    <w:rsid w:val="006506F8"/>
    <w:rsid w:val="006579F3"/>
    <w:rsid w:val="006610A2"/>
    <w:rsid w:val="00663178"/>
    <w:rsid w:val="00663408"/>
    <w:rsid w:val="00663A3F"/>
    <w:rsid w:val="00664F1D"/>
    <w:rsid w:val="00665824"/>
    <w:rsid w:val="006703F2"/>
    <w:rsid w:val="006760C3"/>
    <w:rsid w:val="006802B8"/>
    <w:rsid w:val="00680E37"/>
    <w:rsid w:val="0068244C"/>
    <w:rsid w:val="0068320F"/>
    <w:rsid w:val="00686DCF"/>
    <w:rsid w:val="00687261"/>
    <w:rsid w:val="00691018"/>
    <w:rsid w:val="006924AD"/>
    <w:rsid w:val="00692C76"/>
    <w:rsid w:val="006932FB"/>
    <w:rsid w:val="0069341C"/>
    <w:rsid w:val="00695ACF"/>
    <w:rsid w:val="006A6B66"/>
    <w:rsid w:val="006A6B91"/>
    <w:rsid w:val="006B2771"/>
    <w:rsid w:val="006B64EA"/>
    <w:rsid w:val="006B6713"/>
    <w:rsid w:val="006B6AE3"/>
    <w:rsid w:val="006B7D3B"/>
    <w:rsid w:val="006B7FF4"/>
    <w:rsid w:val="006C15D5"/>
    <w:rsid w:val="006C23B1"/>
    <w:rsid w:val="006C3C10"/>
    <w:rsid w:val="006C474D"/>
    <w:rsid w:val="006C5332"/>
    <w:rsid w:val="006D088D"/>
    <w:rsid w:val="006D1D18"/>
    <w:rsid w:val="006D2F01"/>
    <w:rsid w:val="006E0B69"/>
    <w:rsid w:val="006E47D4"/>
    <w:rsid w:val="006E71FB"/>
    <w:rsid w:val="006F2CA1"/>
    <w:rsid w:val="006F349E"/>
    <w:rsid w:val="006F3C2D"/>
    <w:rsid w:val="006F7081"/>
    <w:rsid w:val="006F77B4"/>
    <w:rsid w:val="006F7C70"/>
    <w:rsid w:val="00700887"/>
    <w:rsid w:val="00702499"/>
    <w:rsid w:val="00702C08"/>
    <w:rsid w:val="00705BB7"/>
    <w:rsid w:val="007100D4"/>
    <w:rsid w:val="00712A21"/>
    <w:rsid w:val="00716084"/>
    <w:rsid w:val="0071722F"/>
    <w:rsid w:val="00717941"/>
    <w:rsid w:val="007200C5"/>
    <w:rsid w:val="00720A11"/>
    <w:rsid w:val="00721CE0"/>
    <w:rsid w:val="007243F6"/>
    <w:rsid w:val="007247DA"/>
    <w:rsid w:val="00725660"/>
    <w:rsid w:val="00725AB9"/>
    <w:rsid w:val="00726B20"/>
    <w:rsid w:val="00733992"/>
    <w:rsid w:val="007378B1"/>
    <w:rsid w:val="00740B44"/>
    <w:rsid w:val="007433E1"/>
    <w:rsid w:val="00743686"/>
    <w:rsid w:val="007442B2"/>
    <w:rsid w:val="007455AB"/>
    <w:rsid w:val="007469E0"/>
    <w:rsid w:val="00747365"/>
    <w:rsid w:val="00750302"/>
    <w:rsid w:val="00752A35"/>
    <w:rsid w:val="00765AE2"/>
    <w:rsid w:val="007665F0"/>
    <w:rsid w:val="0076774A"/>
    <w:rsid w:val="007730DF"/>
    <w:rsid w:val="007740E2"/>
    <w:rsid w:val="00776153"/>
    <w:rsid w:val="00776ED8"/>
    <w:rsid w:val="00777195"/>
    <w:rsid w:val="007818CB"/>
    <w:rsid w:val="00781C4A"/>
    <w:rsid w:val="00782E5D"/>
    <w:rsid w:val="007841B4"/>
    <w:rsid w:val="00785C88"/>
    <w:rsid w:val="0079067E"/>
    <w:rsid w:val="00791BBE"/>
    <w:rsid w:val="00792521"/>
    <w:rsid w:val="007934E2"/>
    <w:rsid w:val="00795358"/>
    <w:rsid w:val="00795CFB"/>
    <w:rsid w:val="00795EF3"/>
    <w:rsid w:val="007A0882"/>
    <w:rsid w:val="007A3B36"/>
    <w:rsid w:val="007A4AF4"/>
    <w:rsid w:val="007A5250"/>
    <w:rsid w:val="007B2C1D"/>
    <w:rsid w:val="007C0F26"/>
    <w:rsid w:val="007C27AC"/>
    <w:rsid w:val="007C2E0F"/>
    <w:rsid w:val="007C5070"/>
    <w:rsid w:val="007C6935"/>
    <w:rsid w:val="007D4F1E"/>
    <w:rsid w:val="007E0C60"/>
    <w:rsid w:val="007E127B"/>
    <w:rsid w:val="007E1465"/>
    <w:rsid w:val="007E431E"/>
    <w:rsid w:val="007E44E8"/>
    <w:rsid w:val="007F3164"/>
    <w:rsid w:val="007F752C"/>
    <w:rsid w:val="007F7FB7"/>
    <w:rsid w:val="008024E3"/>
    <w:rsid w:val="00802EC5"/>
    <w:rsid w:val="00802F52"/>
    <w:rsid w:val="00804C35"/>
    <w:rsid w:val="0080639A"/>
    <w:rsid w:val="00810CDD"/>
    <w:rsid w:val="00812F2A"/>
    <w:rsid w:val="00814A7B"/>
    <w:rsid w:val="00816F62"/>
    <w:rsid w:val="00820453"/>
    <w:rsid w:val="00822FE7"/>
    <w:rsid w:val="00824A89"/>
    <w:rsid w:val="008271B6"/>
    <w:rsid w:val="008307F6"/>
    <w:rsid w:val="00834260"/>
    <w:rsid w:val="0083697D"/>
    <w:rsid w:val="00836E5B"/>
    <w:rsid w:val="00837F38"/>
    <w:rsid w:val="00842B30"/>
    <w:rsid w:val="008443B2"/>
    <w:rsid w:val="00844972"/>
    <w:rsid w:val="00845D24"/>
    <w:rsid w:val="00846CA4"/>
    <w:rsid w:val="00850649"/>
    <w:rsid w:val="00853936"/>
    <w:rsid w:val="00857960"/>
    <w:rsid w:val="00857A25"/>
    <w:rsid w:val="00857C90"/>
    <w:rsid w:val="008611B6"/>
    <w:rsid w:val="00870E69"/>
    <w:rsid w:val="00871E7D"/>
    <w:rsid w:val="008763AC"/>
    <w:rsid w:val="008764AF"/>
    <w:rsid w:val="0087702C"/>
    <w:rsid w:val="00877413"/>
    <w:rsid w:val="008809D6"/>
    <w:rsid w:val="00882DEF"/>
    <w:rsid w:val="00883625"/>
    <w:rsid w:val="008846CF"/>
    <w:rsid w:val="0088535D"/>
    <w:rsid w:val="008859FB"/>
    <w:rsid w:val="00892370"/>
    <w:rsid w:val="0089783D"/>
    <w:rsid w:val="008A11C4"/>
    <w:rsid w:val="008A2AEA"/>
    <w:rsid w:val="008A2B51"/>
    <w:rsid w:val="008A5260"/>
    <w:rsid w:val="008A760A"/>
    <w:rsid w:val="008A7895"/>
    <w:rsid w:val="008B24A0"/>
    <w:rsid w:val="008B516B"/>
    <w:rsid w:val="008B57A2"/>
    <w:rsid w:val="008B7F38"/>
    <w:rsid w:val="008C0DEC"/>
    <w:rsid w:val="008C2A98"/>
    <w:rsid w:val="008C3EB1"/>
    <w:rsid w:val="008D1DCB"/>
    <w:rsid w:val="008D2B99"/>
    <w:rsid w:val="008D7FA3"/>
    <w:rsid w:val="008E1767"/>
    <w:rsid w:val="008E29B0"/>
    <w:rsid w:val="008E353E"/>
    <w:rsid w:val="008E7ECB"/>
    <w:rsid w:val="008F2134"/>
    <w:rsid w:val="008F5B04"/>
    <w:rsid w:val="008F5B08"/>
    <w:rsid w:val="008F6C9F"/>
    <w:rsid w:val="008F7064"/>
    <w:rsid w:val="008F72E8"/>
    <w:rsid w:val="0090343E"/>
    <w:rsid w:val="00904F72"/>
    <w:rsid w:val="00907D3D"/>
    <w:rsid w:val="00910C93"/>
    <w:rsid w:val="00912A80"/>
    <w:rsid w:val="00920BEC"/>
    <w:rsid w:val="00921B7C"/>
    <w:rsid w:val="00922018"/>
    <w:rsid w:val="00922062"/>
    <w:rsid w:val="009249FC"/>
    <w:rsid w:val="009265FA"/>
    <w:rsid w:val="0092756B"/>
    <w:rsid w:val="00931DD0"/>
    <w:rsid w:val="0093206D"/>
    <w:rsid w:val="00933358"/>
    <w:rsid w:val="0093374C"/>
    <w:rsid w:val="00937E6E"/>
    <w:rsid w:val="009412D3"/>
    <w:rsid w:val="00944A61"/>
    <w:rsid w:val="00946483"/>
    <w:rsid w:val="0096107D"/>
    <w:rsid w:val="00961386"/>
    <w:rsid w:val="00961AB7"/>
    <w:rsid w:val="00962CBC"/>
    <w:rsid w:val="00963952"/>
    <w:rsid w:val="009664F2"/>
    <w:rsid w:val="00967BE5"/>
    <w:rsid w:val="00970BF2"/>
    <w:rsid w:val="009735BD"/>
    <w:rsid w:val="00974146"/>
    <w:rsid w:val="00977301"/>
    <w:rsid w:val="00977375"/>
    <w:rsid w:val="00977C11"/>
    <w:rsid w:val="00987FE9"/>
    <w:rsid w:val="00990086"/>
    <w:rsid w:val="0099026B"/>
    <w:rsid w:val="009902DF"/>
    <w:rsid w:val="009907EF"/>
    <w:rsid w:val="00990C6C"/>
    <w:rsid w:val="0099154D"/>
    <w:rsid w:val="009918BF"/>
    <w:rsid w:val="00992D1B"/>
    <w:rsid w:val="009A0594"/>
    <w:rsid w:val="009A1666"/>
    <w:rsid w:val="009A2B2B"/>
    <w:rsid w:val="009A3C12"/>
    <w:rsid w:val="009A7A6A"/>
    <w:rsid w:val="009B0860"/>
    <w:rsid w:val="009B1188"/>
    <w:rsid w:val="009B2A65"/>
    <w:rsid w:val="009B5D87"/>
    <w:rsid w:val="009C5B3D"/>
    <w:rsid w:val="009C6098"/>
    <w:rsid w:val="009C7EDD"/>
    <w:rsid w:val="009D01E6"/>
    <w:rsid w:val="009D10E8"/>
    <w:rsid w:val="009D39A0"/>
    <w:rsid w:val="009D44E0"/>
    <w:rsid w:val="009D59D8"/>
    <w:rsid w:val="009E61CC"/>
    <w:rsid w:val="009E7A8B"/>
    <w:rsid w:val="009F4DFF"/>
    <w:rsid w:val="009F5156"/>
    <w:rsid w:val="009F75CF"/>
    <w:rsid w:val="009F7A52"/>
    <w:rsid w:val="00A024CF"/>
    <w:rsid w:val="00A02E7A"/>
    <w:rsid w:val="00A13C7C"/>
    <w:rsid w:val="00A13F65"/>
    <w:rsid w:val="00A145DB"/>
    <w:rsid w:val="00A1532A"/>
    <w:rsid w:val="00A15AC8"/>
    <w:rsid w:val="00A202A8"/>
    <w:rsid w:val="00A22CC0"/>
    <w:rsid w:val="00A23DAE"/>
    <w:rsid w:val="00A25212"/>
    <w:rsid w:val="00A304EB"/>
    <w:rsid w:val="00A345A1"/>
    <w:rsid w:val="00A37A06"/>
    <w:rsid w:val="00A42A05"/>
    <w:rsid w:val="00A44709"/>
    <w:rsid w:val="00A455B9"/>
    <w:rsid w:val="00A50D0A"/>
    <w:rsid w:val="00A525C1"/>
    <w:rsid w:val="00A52BBD"/>
    <w:rsid w:val="00A54F41"/>
    <w:rsid w:val="00A5623C"/>
    <w:rsid w:val="00A5625F"/>
    <w:rsid w:val="00A6303E"/>
    <w:rsid w:val="00A64A21"/>
    <w:rsid w:val="00A65558"/>
    <w:rsid w:val="00A66C57"/>
    <w:rsid w:val="00A67420"/>
    <w:rsid w:val="00A6794A"/>
    <w:rsid w:val="00A67A3A"/>
    <w:rsid w:val="00A700CA"/>
    <w:rsid w:val="00A71400"/>
    <w:rsid w:val="00A81C8C"/>
    <w:rsid w:val="00A90E95"/>
    <w:rsid w:val="00A921AB"/>
    <w:rsid w:val="00A92AFB"/>
    <w:rsid w:val="00A945E8"/>
    <w:rsid w:val="00A94633"/>
    <w:rsid w:val="00A96C2B"/>
    <w:rsid w:val="00AA7B53"/>
    <w:rsid w:val="00AB01F2"/>
    <w:rsid w:val="00AB3222"/>
    <w:rsid w:val="00AB49D5"/>
    <w:rsid w:val="00AB5D4B"/>
    <w:rsid w:val="00AB6D22"/>
    <w:rsid w:val="00AC1C06"/>
    <w:rsid w:val="00AD27A2"/>
    <w:rsid w:val="00AD3F63"/>
    <w:rsid w:val="00AE1B1F"/>
    <w:rsid w:val="00AE1DD9"/>
    <w:rsid w:val="00AE3B92"/>
    <w:rsid w:val="00AE6DE2"/>
    <w:rsid w:val="00AE7428"/>
    <w:rsid w:val="00AE7549"/>
    <w:rsid w:val="00AE77D0"/>
    <w:rsid w:val="00AE7F6A"/>
    <w:rsid w:val="00AF492E"/>
    <w:rsid w:val="00AF504D"/>
    <w:rsid w:val="00AF58C4"/>
    <w:rsid w:val="00AF67CC"/>
    <w:rsid w:val="00AF7CFF"/>
    <w:rsid w:val="00B022B0"/>
    <w:rsid w:val="00B04C06"/>
    <w:rsid w:val="00B0506C"/>
    <w:rsid w:val="00B05DB6"/>
    <w:rsid w:val="00B07E39"/>
    <w:rsid w:val="00B12467"/>
    <w:rsid w:val="00B16345"/>
    <w:rsid w:val="00B17590"/>
    <w:rsid w:val="00B17A91"/>
    <w:rsid w:val="00B21DCE"/>
    <w:rsid w:val="00B22A6C"/>
    <w:rsid w:val="00B23A5D"/>
    <w:rsid w:val="00B258D0"/>
    <w:rsid w:val="00B3174A"/>
    <w:rsid w:val="00B36E53"/>
    <w:rsid w:val="00B377F7"/>
    <w:rsid w:val="00B414AD"/>
    <w:rsid w:val="00B42449"/>
    <w:rsid w:val="00B43284"/>
    <w:rsid w:val="00B447EA"/>
    <w:rsid w:val="00B45A0F"/>
    <w:rsid w:val="00B46DEF"/>
    <w:rsid w:val="00B50C44"/>
    <w:rsid w:val="00B5223C"/>
    <w:rsid w:val="00B54311"/>
    <w:rsid w:val="00B662C1"/>
    <w:rsid w:val="00B678FB"/>
    <w:rsid w:val="00B71978"/>
    <w:rsid w:val="00B72B31"/>
    <w:rsid w:val="00B72CCD"/>
    <w:rsid w:val="00B73223"/>
    <w:rsid w:val="00B77FFC"/>
    <w:rsid w:val="00B83203"/>
    <w:rsid w:val="00B9074C"/>
    <w:rsid w:val="00B920D8"/>
    <w:rsid w:val="00B92DEB"/>
    <w:rsid w:val="00B934A4"/>
    <w:rsid w:val="00B94099"/>
    <w:rsid w:val="00B95903"/>
    <w:rsid w:val="00B95C28"/>
    <w:rsid w:val="00B977E3"/>
    <w:rsid w:val="00B97A22"/>
    <w:rsid w:val="00BA6308"/>
    <w:rsid w:val="00BA6930"/>
    <w:rsid w:val="00BB20FD"/>
    <w:rsid w:val="00BB3BFC"/>
    <w:rsid w:val="00BB6E15"/>
    <w:rsid w:val="00BC3A27"/>
    <w:rsid w:val="00BC64BF"/>
    <w:rsid w:val="00BC64F9"/>
    <w:rsid w:val="00BC74EC"/>
    <w:rsid w:val="00BC7FFD"/>
    <w:rsid w:val="00BD04B1"/>
    <w:rsid w:val="00BD2EA3"/>
    <w:rsid w:val="00BD2F3B"/>
    <w:rsid w:val="00BD3BEB"/>
    <w:rsid w:val="00BD4362"/>
    <w:rsid w:val="00BD6972"/>
    <w:rsid w:val="00BD6C5F"/>
    <w:rsid w:val="00BE2513"/>
    <w:rsid w:val="00BE2B59"/>
    <w:rsid w:val="00BE33B2"/>
    <w:rsid w:val="00BE3BB0"/>
    <w:rsid w:val="00BE3CDB"/>
    <w:rsid w:val="00BE7AA4"/>
    <w:rsid w:val="00BF18B9"/>
    <w:rsid w:val="00BF2C0A"/>
    <w:rsid w:val="00BF3015"/>
    <w:rsid w:val="00BF4D14"/>
    <w:rsid w:val="00C00F0D"/>
    <w:rsid w:val="00C03E55"/>
    <w:rsid w:val="00C06687"/>
    <w:rsid w:val="00C070AB"/>
    <w:rsid w:val="00C07385"/>
    <w:rsid w:val="00C079D6"/>
    <w:rsid w:val="00C07D18"/>
    <w:rsid w:val="00C14DE3"/>
    <w:rsid w:val="00C162D8"/>
    <w:rsid w:val="00C20B2A"/>
    <w:rsid w:val="00C21C71"/>
    <w:rsid w:val="00C21EF4"/>
    <w:rsid w:val="00C2355B"/>
    <w:rsid w:val="00C23C60"/>
    <w:rsid w:val="00C34810"/>
    <w:rsid w:val="00C34B95"/>
    <w:rsid w:val="00C40003"/>
    <w:rsid w:val="00C418F2"/>
    <w:rsid w:val="00C41C17"/>
    <w:rsid w:val="00C435C2"/>
    <w:rsid w:val="00C43F16"/>
    <w:rsid w:val="00C4556E"/>
    <w:rsid w:val="00C45E40"/>
    <w:rsid w:val="00C50BB6"/>
    <w:rsid w:val="00C510E8"/>
    <w:rsid w:val="00C52AD0"/>
    <w:rsid w:val="00C52CDD"/>
    <w:rsid w:val="00C533F2"/>
    <w:rsid w:val="00C54BD2"/>
    <w:rsid w:val="00C55A75"/>
    <w:rsid w:val="00C55D20"/>
    <w:rsid w:val="00C615E5"/>
    <w:rsid w:val="00C62D30"/>
    <w:rsid w:val="00C65F26"/>
    <w:rsid w:val="00C67676"/>
    <w:rsid w:val="00C678C6"/>
    <w:rsid w:val="00C70505"/>
    <w:rsid w:val="00C71C02"/>
    <w:rsid w:val="00C72661"/>
    <w:rsid w:val="00C75F13"/>
    <w:rsid w:val="00C807EA"/>
    <w:rsid w:val="00C80929"/>
    <w:rsid w:val="00C80B72"/>
    <w:rsid w:val="00C84806"/>
    <w:rsid w:val="00C85609"/>
    <w:rsid w:val="00C856E8"/>
    <w:rsid w:val="00C869B0"/>
    <w:rsid w:val="00C913FE"/>
    <w:rsid w:val="00C92390"/>
    <w:rsid w:val="00C92B50"/>
    <w:rsid w:val="00C93225"/>
    <w:rsid w:val="00C94A9F"/>
    <w:rsid w:val="00C97FAD"/>
    <w:rsid w:val="00CA0CCA"/>
    <w:rsid w:val="00CA0E49"/>
    <w:rsid w:val="00CA1520"/>
    <w:rsid w:val="00CA2E34"/>
    <w:rsid w:val="00CA508C"/>
    <w:rsid w:val="00CA7BC6"/>
    <w:rsid w:val="00CB14C9"/>
    <w:rsid w:val="00CB2789"/>
    <w:rsid w:val="00CB301F"/>
    <w:rsid w:val="00CB616D"/>
    <w:rsid w:val="00CB671F"/>
    <w:rsid w:val="00CC20C9"/>
    <w:rsid w:val="00CC5BA9"/>
    <w:rsid w:val="00CC7DD2"/>
    <w:rsid w:val="00CD23D4"/>
    <w:rsid w:val="00CD3306"/>
    <w:rsid w:val="00CD380B"/>
    <w:rsid w:val="00CD4751"/>
    <w:rsid w:val="00CD5CCF"/>
    <w:rsid w:val="00CD5FC9"/>
    <w:rsid w:val="00CD780E"/>
    <w:rsid w:val="00CE3027"/>
    <w:rsid w:val="00CE4C24"/>
    <w:rsid w:val="00CE5493"/>
    <w:rsid w:val="00CE54F0"/>
    <w:rsid w:val="00CE75F5"/>
    <w:rsid w:val="00CF06EF"/>
    <w:rsid w:val="00CF0868"/>
    <w:rsid w:val="00CF0A1D"/>
    <w:rsid w:val="00CF3890"/>
    <w:rsid w:val="00CF5287"/>
    <w:rsid w:val="00D0270A"/>
    <w:rsid w:val="00D02A16"/>
    <w:rsid w:val="00D03CA4"/>
    <w:rsid w:val="00D0403D"/>
    <w:rsid w:val="00D05946"/>
    <w:rsid w:val="00D06240"/>
    <w:rsid w:val="00D06C51"/>
    <w:rsid w:val="00D06F48"/>
    <w:rsid w:val="00D141C8"/>
    <w:rsid w:val="00D1457D"/>
    <w:rsid w:val="00D204B1"/>
    <w:rsid w:val="00D20806"/>
    <w:rsid w:val="00D2183E"/>
    <w:rsid w:val="00D222C0"/>
    <w:rsid w:val="00D227EF"/>
    <w:rsid w:val="00D26D31"/>
    <w:rsid w:val="00D319B4"/>
    <w:rsid w:val="00D32364"/>
    <w:rsid w:val="00D33A20"/>
    <w:rsid w:val="00D33D29"/>
    <w:rsid w:val="00D34899"/>
    <w:rsid w:val="00D352D5"/>
    <w:rsid w:val="00D3585B"/>
    <w:rsid w:val="00D3673E"/>
    <w:rsid w:val="00D36AD7"/>
    <w:rsid w:val="00D37960"/>
    <w:rsid w:val="00D41E2D"/>
    <w:rsid w:val="00D44EF4"/>
    <w:rsid w:val="00D5637B"/>
    <w:rsid w:val="00D5795E"/>
    <w:rsid w:val="00D60656"/>
    <w:rsid w:val="00D61220"/>
    <w:rsid w:val="00D61546"/>
    <w:rsid w:val="00D617D4"/>
    <w:rsid w:val="00D623A5"/>
    <w:rsid w:val="00D62C3F"/>
    <w:rsid w:val="00D6700C"/>
    <w:rsid w:val="00D6787A"/>
    <w:rsid w:val="00D73F51"/>
    <w:rsid w:val="00D75157"/>
    <w:rsid w:val="00D75B7F"/>
    <w:rsid w:val="00D76D80"/>
    <w:rsid w:val="00D82062"/>
    <w:rsid w:val="00D8256F"/>
    <w:rsid w:val="00D8261D"/>
    <w:rsid w:val="00D833DA"/>
    <w:rsid w:val="00D84AA8"/>
    <w:rsid w:val="00D85191"/>
    <w:rsid w:val="00D867EA"/>
    <w:rsid w:val="00D90E4F"/>
    <w:rsid w:val="00D91462"/>
    <w:rsid w:val="00D93151"/>
    <w:rsid w:val="00D97BF4"/>
    <w:rsid w:val="00DA1AC4"/>
    <w:rsid w:val="00DA3118"/>
    <w:rsid w:val="00DA4B8A"/>
    <w:rsid w:val="00DA4E12"/>
    <w:rsid w:val="00DA4F5A"/>
    <w:rsid w:val="00DA5823"/>
    <w:rsid w:val="00DA66D5"/>
    <w:rsid w:val="00DB3C4D"/>
    <w:rsid w:val="00DB7079"/>
    <w:rsid w:val="00DB792C"/>
    <w:rsid w:val="00DC06C9"/>
    <w:rsid w:val="00DC4E3E"/>
    <w:rsid w:val="00DC5692"/>
    <w:rsid w:val="00DC6A6D"/>
    <w:rsid w:val="00DC6B23"/>
    <w:rsid w:val="00DD14D0"/>
    <w:rsid w:val="00DD1FD5"/>
    <w:rsid w:val="00DD3309"/>
    <w:rsid w:val="00DD3EAB"/>
    <w:rsid w:val="00DD52E5"/>
    <w:rsid w:val="00DD652E"/>
    <w:rsid w:val="00DD6FAA"/>
    <w:rsid w:val="00DE0A4A"/>
    <w:rsid w:val="00DE143A"/>
    <w:rsid w:val="00DE2AA3"/>
    <w:rsid w:val="00DE41FE"/>
    <w:rsid w:val="00DE4401"/>
    <w:rsid w:val="00DE5718"/>
    <w:rsid w:val="00DF01A0"/>
    <w:rsid w:val="00DF1139"/>
    <w:rsid w:val="00DF3E91"/>
    <w:rsid w:val="00DF6B7C"/>
    <w:rsid w:val="00DF7CCD"/>
    <w:rsid w:val="00E07653"/>
    <w:rsid w:val="00E07A56"/>
    <w:rsid w:val="00E100CF"/>
    <w:rsid w:val="00E10F6E"/>
    <w:rsid w:val="00E15951"/>
    <w:rsid w:val="00E15FBA"/>
    <w:rsid w:val="00E20280"/>
    <w:rsid w:val="00E2211A"/>
    <w:rsid w:val="00E264BD"/>
    <w:rsid w:val="00E26992"/>
    <w:rsid w:val="00E34667"/>
    <w:rsid w:val="00E34DCD"/>
    <w:rsid w:val="00E36BFE"/>
    <w:rsid w:val="00E4063F"/>
    <w:rsid w:val="00E41414"/>
    <w:rsid w:val="00E424A8"/>
    <w:rsid w:val="00E4496A"/>
    <w:rsid w:val="00E45346"/>
    <w:rsid w:val="00E47EEC"/>
    <w:rsid w:val="00E531CC"/>
    <w:rsid w:val="00E53B51"/>
    <w:rsid w:val="00E55C19"/>
    <w:rsid w:val="00E55D5A"/>
    <w:rsid w:val="00E567F9"/>
    <w:rsid w:val="00E60FD9"/>
    <w:rsid w:val="00E611FF"/>
    <w:rsid w:val="00E621DA"/>
    <w:rsid w:val="00E647FD"/>
    <w:rsid w:val="00E64B5F"/>
    <w:rsid w:val="00E655B1"/>
    <w:rsid w:val="00E70E6D"/>
    <w:rsid w:val="00E755C1"/>
    <w:rsid w:val="00E770C7"/>
    <w:rsid w:val="00E83700"/>
    <w:rsid w:val="00E84A66"/>
    <w:rsid w:val="00E8633B"/>
    <w:rsid w:val="00E92F17"/>
    <w:rsid w:val="00E94C6D"/>
    <w:rsid w:val="00E9501F"/>
    <w:rsid w:val="00EA1ABA"/>
    <w:rsid w:val="00EA2387"/>
    <w:rsid w:val="00EA5C84"/>
    <w:rsid w:val="00EA5EDD"/>
    <w:rsid w:val="00EB0A75"/>
    <w:rsid w:val="00EB3F7A"/>
    <w:rsid w:val="00EB54A2"/>
    <w:rsid w:val="00EB6467"/>
    <w:rsid w:val="00EC038E"/>
    <w:rsid w:val="00EC2CEB"/>
    <w:rsid w:val="00EC5EE6"/>
    <w:rsid w:val="00ED136D"/>
    <w:rsid w:val="00ED1D5C"/>
    <w:rsid w:val="00ED3153"/>
    <w:rsid w:val="00ED4A86"/>
    <w:rsid w:val="00ED76E0"/>
    <w:rsid w:val="00EE0235"/>
    <w:rsid w:val="00EE60AB"/>
    <w:rsid w:val="00EE71C3"/>
    <w:rsid w:val="00EF0E3E"/>
    <w:rsid w:val="00EF2CF4"/>
    <w:rsid w:val="00EF428B"/>
    <w:rsid w:val="00EF5ED4"/>
    <w:rsid w:val="00EF6CFA"/>
    <w:rsid w:val="00EF76D1"/>
    <w:rsid w:val="00F00A90"/>
    <w:rsid w:val="00F03239"/>
    <w:rsid w:val="00F050D0"/>
    <w:rsid w:val="00F05AB2"/>
    <w:rsid w:val="00F1007E"/>
    <w:rsid w:val="00F13010"/>
    <w:rsid w:val="00F13B38"/>
    <w:rsid w:val="00F15CD4"/>
    <w:rsid w:val="00F20B0A"/>
    <w:rsid w:val="00F2225B"/>
    <w:rsid w:val="00F271E0"/>
    <w:rsid w:val="00F27405"/>
    <w:rsid w:val="00F278D0"/>
    <w:rsid w:val="00F27ADF"/>
    <w:rsid w:val="00F30F7E"/>
    <w:rsid w:val="00F3378A"/>
    <w:rsid w:val="00F35493"/>
    <w:rsid w:val="00F4046A"/>
    <w:rsid w:val="00F4158B"/>
    <w:rsid w:val="00F41BFD"/>
    <w:rsid w:val="00F42828"/>
    <w:rsid w:val="00F44988"/>
    <w:rsid w:val="00F45751"/>
    <w:rsid w:val="00F471EF"/>
    <w:rsid w:val="00F500FB"/>
    <w:rsid w:val="00F50815"/>
    <w:rsid w:val="00F508CE"/>
    <w:rsid w:val="00F52637"/>
    <w:rsid w:val="00F526C5"/>
    <w:rsid w:val="00F52ADB"/>
    <w:rsid w:val="00F53DB3"/>
    <w:rsid w:val="00F540F2"/>
    <w:rsid w:val="00F568E5"/>
    <w:rsid w:val="00F57161"/>
    <w:rsid w:val="00F61A54"/>
    <w:rsid w:val="00F633FF"/>
    <w:rsid w:val="00F63BC6"/>
    <w:rsid w:val="00F643F9"/>
    <w:rsid w:val="00F646FF"/>
    <w:rsid w:val="00F64D77"/>
    <w:rsid w:val="00F7159E"/>
    <w:rsid w:val="00F767EC"/>
    <w:rsid w:val="00F775CC"/>
    <w:rsid w:val="00F81206"/>
    <w:rsid w:val="00F81A42"/>
    <w:rsid w:val="00F82A4D"/>
    <w:rsid w:val="00F85603"/>
    <w:rsid w:val="00F87957"/>
    <w:rsid w:val="00F941BD"/>
    <w:rsid w:val="00F944C1"/>
    <w:rsid w:val="00F97B5D"/>
    <w:rsid w:val="00F97E7D"/>
    <w:rsid w:val="00FA0228"/>
    <w:rsid w:val="00FA0DB6"/>
    <w:rsid w:val="00FA113F"/>
    <w:rsid w:val="00FA1BBF"/>
    <w:rsid w:val="00FA33DA"/>
    <w:rsid w:val="00FA349F"/>
    <w:rsid w:val="00FB00B6"/>
    <w:rsid w:val="00FB0A6C"/>
    <w:rsid w:val="00FB0AE4"/>
    <w:rsid w:val="00FB20F6"/>
    <w:rsid w:val="00FB4212"/>
    <w:rsid w:val="00FB50FA"/>
    <w:rsid w:val="00FC3050"/>
    <w:rsid w:val="00FC37EA"/>
    <w:rsid w:val="00FC397A"/>
    <w:rsid w:val="00FC3B2D"/>
    <w:rsid w:val="00FC3DA2"/>
    <w:rsid w:val="00FC50A4"/>
    <w:rsid w:val="00FD130D"/>
    <w:rsid w:val="00FD1479"/>
    <w:rsid w:val="00FD45C6"/>
    <w:rsid w:val="00FD6BFB"/>
    <w:rsid w:val="00FD6E1F"/>
    <w:rsid w:val="00FE2242"/>
    <w:rsid w:val="00FE2DD0"/>
    <w:rsid w:val="00FE7D66"/>
    <w:rsid w:val="00FF0E8D"/>
    <w:rsid w:val="00FF109F"/>
    <w:rsid w:val="00FF2805"/>
    <w:rsid w:val="00FF4E21"/>
    <w:rsid w:val="00FF60B0"/>
    <w:rsid w:val="011076DB"/>
    <w:rsid w:val="01340EE0"/>
    <w:rsid w:val="016048CA"/>
    <w:rsid w:val="018A7679"/>
    <w:rsid w:val="0195374C"/>
    <w:rsid w:val="02377C0A"/>
    <w:rsid w:val="02486643"/>
    <w:rsid w:val="02496E75"/>
    <w:rsid w:val="024F161E"/>
    <w:rsid w:val="03AF117E"/>
    <w:rsid w:val="03B40DAE"/>
    <w:rsid w:val="03B71F4E"/>
    <w:rsid w:val="03BB6210"/>
    <w:rsid w:val="03F97CA5"/>
    <w:rsid w:val="040A1CAB"/>
    <w:rsid w:val="04A35D02"/>
    <w:rsid w:val="04D631AD"/>
    <w:rsid w:val="04FB4053"/>
    <w:rsid w:val="05515C0A"/>
    <w:rsid w:val="05613ED6"/>
    <w:rsid w:val="056B5231"/>
    <w:rsid w:val="05B42F17"/>
    <w:rsid w:val="05C72C4A"/>
    <w:rsid w:val="05E74D99"/>
    <w:rsid w:val="05EC5978"/>
    <w:rsid w:val="06013E99"/>
    <w:rsid w:val="062A76DC"/>
    <w:rsid w:val="06477643"/>
    <w:rsid w:val="06736DB3"/>
    <w:rsid w:val="06914EFE"/>
    <w:rsid w:val="069338C3"/>
    <w:rsid w:val="06A67635"/>
    <w:rsid w:val="06A962CD"/>
    <w:rsid w:val="06AD24D5"/>
    <w:rsid w:val="06BD35CC"/>
    <w:rsid w:val="06F0378A"/>
    <w:rsid w:val="07117A3E"/>
    <w:rsid w:val="07314C58"/>
    <w:rsid w:val="07554671"/>
    <w:rsid w:val="07705810"/>
    <w:rsid w:val="077223C1"/>
    <w:rsid w:val="07735E64"/>
    <w:rsid w:val="077D1303"/>
    <w:rsid w:val="079F7BAE"/>
    <w:rsid w:val="07D1602E"/>
    <w:rsid w:val="07DA7720"/>
    <w:rsid w:val="086D0CAC"/>
    <w:rsid w:val="089823CA"/>
    <w:rsid w:val="08C3081D"/>
    <w:rsid w:val="08F024B8"/>
    <w:rsid w:val="090E6DE2"/>
    <w:rsid w:val="091E3FAF"/>
    <w:rsid w:val="092925A6"/>
    <w:rsid w:val="0937134C"/>
    <w:rsid w:val="094216D1"/>
    <w:rsid w:val="09585E7C"/>
    <w:rsid w:val="09A32550"/>
    <w:rsid w:val="09CD7B8A"/>
    <w:rsid w:val="09D52E1D"/>
    <w:rsid w:val="09FF6A5B"/>
    <w:rsid w:val="0A07140E"/>
    <w:rsid w:val="0A211992"/>
    <w:rsid w:val="0A4F35C1"/>
    <w:rsid w:val="0A562CBC"/>
    <w:rsid w:val="0A640DAC"/>
    <w:rsid w:val="0A664412"/>
    <w:rsid w:val="0A920902"/>
    <w:rsid w:val="0A9C76A7"/>
    <w:rsid w:val="0AC027B4"/>
    <w:rsid w:val="0AFB78F9"/>
    <w:rsid w:val="0B1B064E"/>
    <w:rsid w:val="0B6F2619"/>
    <w:rsid w:val="0C725662"/>
    <w:rsid w:val="0CBB0AFA"/>
    <w:rsid w:val="0D315E36"/>
    <w:rsid w:val="0DB04F09"/>
    <w:rsid w:val="0DD24882"/>
    <w:rsid w:val="0DF91FC1"/>
    <w:rsid w:val="0E002507"/>
    <w:rsid w:val="0E0F1632"/>
    <w:rsid w:val="0E4868F2"/>
    <w:rsid w:val="0E772D33"/>
    <w:rsid w:val="0EB810AA"/>
    <w:rsid w:val="0ED426D8"/>
    <w:rsid w:val="0EDB0E4E"/>
    <w:rsid w:val="0F021306"/>
    <w:rsid w:val="0F042BC2"/>
    <w:rsid w:val="0F4C6F6C"/>
    <w:rsid w:val="0F5D7C7B"/>
    <w:rsid w:val="0FB21596"/>
    <w:rsid w:val="0FC1532E"/>
    <w:rsid w:val="0FCB1326"/>
    <w:rsid w:val="0FE90477"/>
    <w:rsid w:val="10155044"/>
    <w:rsid w:val="101D336C"/>
    <w:rsid w:val="102B7629"/>
    <w:rsid w:val="1038663B"/>
    <w:rsid w:val="104344BA"/>
    <w:rsid w:val="108E45C0"/>
    <w:rsid w:val="10D7072D"/>
    <w:rsid w:val="10F651FE"/>
    <w:rsid w:val="111B08AD"/>
    <w:rsid w:val="11282EEB"/>
    <w:rsid w:val="115709B8"/>
    <w:rsid w:val="11B11D4E"/>
    <w:rsid w:val="11CB7D3C"/>
    <w:rsid w:val="11E04F43"/>
    <w:rsid w:val="12E96050"/>
    <w:rsid w:val="13462B78"/>
    <w:rsid w:val="1357401F"/>
    <w:rsid w:val="13C03A2E"/>
    <w:rsid w:val="13C46A1B"/>
    <w:rsid w:val="13D50C28"/>
    <w:rsid w:val="144136AD"/>
    <w:rsid w:val="14540097"/>
    <w:rsid w:val="145B7AAC"/>
    <w:rsid w:val="148E0333"/>
    <w:rsid w:val="14E84D71"/>
    <w:rsid w:val="151439D2"/>
    <w:rsid w:val="15271BA3"/>
    <w:rsid w:val="15820401"/>
    <w:rsid w:val="15F15587"/>
    <w:rsid w:val="15FC2E71"/>
    <w:rsid w:val="16075A6D"/>
    <w:rsid w:val="1625236D"/>
    <w:rsid w:val="163C5DAC"/>
    <w:rsid w:val="16770B92"/>
    <w:rsid w:val="172C455D"/>
    <w:rsid w:val="177254BF"/>
    <w:rsid w:val="177A5946"/>
    <w:rsid w:val="177A7653"/>
    <w:rsid w:val="17B35E0E"/>
    <w:rsid w:val="17CC3AC0"/>
    <w:rsid w:val="18242446"/>
    <w:rsid w:val="185E1BE6"/>
    <w:rsid w:val="18AB54FE"/>
    <w:rsid w:val="18AF5218"/>
    <w:rsid w:val="18CE3850"/>
    <w:rsid w:val="18EE55D3"/>
    <w:rsid w:val="194B07E3"/>
    <w:rsid w:val="19511388"/>
    <w:rsid w:val="196F7427"/>
    <w:rsid w:val="197B574B"/>
    <w:rsid w:val="1992068A"/>
    <w:rsid w:val="19B30892"/>
    <w:rsid w:val="19CA4592"/>
    <w:rsid w:val="19DA3568"/>
    <w:rsid w:val="19E0310D"/>
    <w:rsid w:val="19F134A0"/>
    <w:rsid w:val="1A25409E"/>
    <w:rsid w:val="1A2D405C"/>
    <w:rsid w:val="1A4268EB"/>
    <w:rsid w:val="1A725422"/>
    <w:rsid w:val="1A773603"/>
    <w:rsid w:val="1A800EEF"/>
    <w:rsid w:val="1A8A0611"/>
    <w:rsid w:val="1AC61C6C"/>
    <w:rsid w:val="1AD93674"/>
    <w:rsid w:val="1AE34B69"/>
    <w:rsid w:val="1AFD1961"/>
    <w:rsid w:val="1B212A56"/>
    <w:rsid w:val="1B883200"/>
    <w:rsid w:val="1BB53913"/>
    <w:rsid w:val="1BBD1F95"/>
    <w:rsid w:val="1BC44288"/>
    <w:rsid w:val="1BC6412C"/>
    <w:rsid w:val="1BDAC4C5"/>
    <w:rsid w:val="1BDE661C"/>
    <w:rsid w:val="1BFDE6BC"/>
    <w:rsid w:val="1C0E71DD"/>
    <w:rsid w:val="1C2B3CC1"/>
    <w:rsid w:val="1C512503"/>
    <w:rsid w:val="1CA56461"/>
    <w:rsid w:val="1CA85E8E"/>
    <w:rsid w:val="1CAA35A0"/>
    <w:rsid w:val="1CCC4C67"/>
    <w:rsid w:val="1CD47F5D"/>
    <w:rsid w:val="1D2E6E81"/>
    <w:rsid w:val="1D3D5090"/>
    <w:rsid w:val="1D504A6F"/>
    <w:rsid w:val="1D641CE6"/>
    <w:rsid w:val="1D6848BB"/>
    <w:rsid w:val="1DA032FD"/>
    <w:rsid w:val="1DE63D5D"/>
    <w:rsid w:val="1E001ED4"/>
    <w:rsid w:val="1E193D09"/>
    <w:rsid w:val="1E1F3367"/>
    <w:rsid w:val="1E397CCE"/>
    <w:rsid w:val="1E4C1AE7"/>
    <w:rsid w:val="1E6873E0"/>
    <w:rsid w:val="1E75798F"/>
    <w:rsid w:val="1E7D6144"/>
    <w:rsid w:val="1EE05995"/>
    <w:rsid w:val="1F0A0993"/>
    <w:rsid w:val="1F6D571A"/>
    <w:rsid w:val="1F7A079C"/>
    <w:rsid w:val="1FAB2230"/>
    <w:rsid w:val="1FB0626B"/>
    <w:rsid w:val="1FCD50C6"/>
    <w:rsid w:val="20016916"/>
    <w:rsid w:val="204F50A8"/>
    <w:rsid w:val="205519FE"/>
    <w:rsid w:val="20BC336A"/>
    <w:rsid w:val="20C05DFE"/>
    <w:rsid w:val="21207871"/>
    <w:rsid w:val="21423112"/>
    <w:rsid w:val="21780CEC"/>
    <w:rsid w:val="21C320DF"/>
    <w:rsid w:val="21C91A85"/>
    <w:rsid w:val="21CF5B88"/>
    <w:rsid w:val="21D37AE9"/>
    <w:rsid w:val="21DD32C1"/>
    <w:rsid w:val="21DE15EF"/>
    <w:rsid w:val="21EA6E66"/>
    <w:rsid w:val="21EF2963"/>
    <w:rsid w:val="2214777E"/>
    <w:rsid w:val="221B1A48"/>
    <w:rsid w:val="22A054DD"/>
    <w:rsid w:val="22B053ED"/>
    <w:rsid w:val="22C6798B"/>
    <w:rsid w:val="22CB6212"/>
    <w:rsid w:val="22CF2CE6"/>
    <w:rsid w:val="22DC19AD"/>
    <w:rsid w:val="22E617AB"/>
    <w:rsid w:val="22EF05EE"/>
    <w:rsid w:val="23121320"/>
    <w:rsid w:val="231E03A3"/>
    <w:rsid w:val="23D40584"/>
    <w:rsid w:val="23DA4F0A"/>
    <w:rsid w:val="23DB104A"/>
    <w:rsid w:val="23E629DD"/>
    <w:rsid w:val="244B787A"/>
    <w:rsid w:val="24652E4D"/>
    <w:rsid w:val="247C0975"/>
    <w:rsid w:val="251B731A"/>
    <w:rsid w:val="257626E2"/>
    <w:rsid w:val="25F07F7D"/>
    <w:rsid w:val="26233A75"/>
    <w:rsid w:val="266F6CBA"/>
    <w:rsid w:val="268B25CD"/>
    <w:rsid w:val="26B26374"/>
    <w:rsid w:val="26B74A9C"/>
    <w:rsid w:val="26EF1BA9"/>
    <w:rsid w:val="27233287"/>
    <w:rsid w:val="27315FC2"/>
    <w:rsid w:val="27AE7E51"/>
    <w:rsid w:val="27BA6EF1"/>
    <w:rsid w:val="27D50FF3"/>
    <w:rsid w:val="28076BC0"/>
    <w:rsid w:val="28886A9D"/>
    <w:rsid w:val="28B07116"/>
    <w:rsid w:val="28CA3F98"/>
    <w:rsid w:val="29196D87"/>
    <w:rsid w:val="29214517"/>
    <w:rsid w:val="29332307"/>
    <w:rsid w:val="29585CB3"/>
    <w:rsid w:val="29592D76"/>
    <w:rsid w:val="297B7FE9"/>
    <w:rsid w:val="298962E5"/>
    <w:rsid w:val="29B03871"/>
    <w:rsid w:val="29C06788"/>
    <w:rsid w:val="2A77521E"/>
    <w:rsid w:val="2A960606"/>
    <w:rsid w:val="2AF10ABC"/>
    <w:rsid w:val="2B0B166C"/>
    <w:rsid w:val="2B0C0F7B"/>
    <w:rsid w:val="2B3E16BF"/>
    <w:rsid w:val="2B8F4DD1"/>
    <w:rsid w:val="2BB94533"/>
    <w:rsid w:val="2BDD765A"/>
    <w:rsid w:val="2C2662B9"/>
    <w:rsid w:val="2C3C47F7"/>
    <w:rsid w:val="2C440C42"/>
    <w:rsid w:val="2C895E77"/>
    <w:rsid w:val="2CEF46B1"/>
    <w:rsid w:val="2D3C231C"/>
    <w:rsid w:val="2D572256"/>
    <w:rsid w:val="2D7E05F7"/>
    <w:rsid w:val="2D934AE7"/>
    <w:rsid w:val="2DCE4F0C"/>
    <w:rsid w:val="2DDC3FC1"/>
    <w:rsid w:val="2E132846"/>
    <w:rsid w:val="2E182FB4"/>
    <w:rsid w:val="2E851886"/>
    <w:rsid w:val="2F4E0DAB"/>
    <w:rsid w:val="2F4EFE68"/>
    <w:rsid w:val="2F852CB6"/>
    <w:rsid w:val="2FAA5AD9"/>
    <w:rsid w:val="2FB4063E"/>
    <w:rsid w:val="2FCE154D"/>
    <w:rsid w:val="2FF039F1"/>
    <w:rsid w:val="2FFB9D41"/>
    <w:rsid w:val="300D61A9"/>
    <w:rsid w:val="300D7523"/>
    <w:rsid w:val="30424CC0"/>
    <w:rsid w:val="311968B2"/>
    <w:rsid w:val="311E18DD"/>
    <w:rsid w:val="31FC2745"/>
    <w:rsid w:val="320B412F"/>
    <w:rsid w:val="3271734E"/>
    <w:rsid w:val="327563B3"/>
    <w:rsid w:val="32965029"/>
    <w:rsid w:val="32A634AF"/>
    <w:rsid w:val="32B921AD"/>
    <w:rsid w:val="32C4038E"/>
    <w:rsid w:val="32CD2E76"/>
    <w:rsid w:val="330E2506"/>
    <w:rsid w:val="331A5AF6"/>
    <w:rsid w:val="33A0531B"/>
    <w:rsid w:val="346C234F"/>
    <w:rsid w:val="34930017"/>
    <w:rsid w:val="34B57BF3"/>
    <w:rsid w:val="34F8315A"/>
    <w:rsid w:val="3539149F"/>
    <w:rsid w:val="354032C5"/>
    <w:rsid w:val="358B61B2"/>
    <w:rsid w:val="35970FD9"/>
    <w:rsid w:val="35A61FCC"/>
    <w:rsid w:val="35B35EF5"/>
    <w:rsid w:val="35D928EB"/>
    <w:rsid w:val="36637EBD"/>
    <w:rsid w:val="36660B35"/>
    <w:rsid w:val="36C57546"/>
    <w:rsid w:val="36D3669F"/>
    <w:rsid w:val="3720230B"/>
    <w:rsid w:val="376244E0"/>
    <w:rsid w:val="376C0295"/>
    <w:rsid w:val="377473AF"/>
    <w:rsid w:val="377D670A"/>
    <w:rsid w:val="37A42CEF"/>
    <w:rsid w:val="37A51FCB"/>
    <w:rsid w:val="37AD13F0"/>
    <w:rsid w:val="37DD6436"/>
    <w:rsid w:val="3819180F"/>
    <w:rsid w:val="38313138"/>
    <w:rsid w:val="383876FC"/>
    <w:rsid w:val="38464F82"/>
    <w:rsid w:val="385376B2"/>
    <w:rsid w:val="389F8FA3"/>
    <w:rsid w:val="38A67777"/>
    <w:rsid w:val="38B505BF"/>
    <w:rsid w:val="38BA021A"/>
    <w:rsid w:val="38E303DA"/>
    <w:rsid w:val="395D64FD"/>
    <w:rsid w:val="39C842CD"/>
    <w:rsid w:val="39D56FB2"/>
    <w:rsid w:val="3A211B28"/>
    <w:rsid w:val="3A400E87"/>
    <w:rsid w:val="3AB33586"/>
    <w:rsid w:val="3AC76C6D"/>
    <w:rsid w:val="3ACB4EAA"/>
    <w:rsid w:val="3AEB1C36"/>
    <w:rsid w:val="3B053CE3"/>
    <w:rsid w:val="3B3945E2"/>
    <w:rsid w:val="3B3E31A9"/>
    <w:rsid w:val="3BA565C9"/>
    <w:rsid w:val="3C214DB9"/>
    <w:rsid w:val="3C286BF8"/>
    <w:rsid w:val="3C9E2B6C"/>
    <w:rsid w:val="3CB13235"/>
    <w:rsid w:val="3CCC5833"/>
    <w:rsid w:val="3CEE30A2"/>
    <w:rsid w:val="3D0A54E4"/>
    <w:rsid w:val="3D12385B"/>
    <w:rsid w:val="3D3C61CF"/>
    <w:rsid w:val="3DA75234"/>
    <w:rsid w:val="3DCE4E55"/>
    <w:rsid w:val="3DF03891"/>
    <w:rsid w:val="3E2C5CAE"/>
    <w:rsid w:val="3E920BF6"/>
    <w:rsid w:val="3EB5793B"/>
    <w:rsid w:val="3ED424C0"/>
    <w:rsid w:val="3EE549D1"/>
    <w:rsid w:val="3EF24507"/>
    <w:rsid w:val="3EF26819"/>
    <w:rsid w:val="3F032219"/>
    <w:rsid w:val="3F6D7022"/>
    <w:rsid w:val="3FFAF1DB"/>
    <w:rsid w:val="40181D19"/>
    <w:rsid w:val="40424744"/>
    <w:rsid w:val="405B1755"/>
    <w:rsid w:val="406A3A67"/>
    <w:rsid w:val="407C0499"/>
    <w:rsid w:val="407C54BA"/>
    <w:rsid w:val="40823610"/>
    <w:rsid w:val="40923879"/>
    <w:rsid w:val="40B0739C"/>
    <w:rsid w:val="40E66D48"/>
    <w:rsid w:val="40E70223"/>
    <w:rsid w:val="411B38EE"/>
    <w:rsid w:val="41234A35"/>
    <w:rsid w:val="41252C1F"/>
    <w:rsid w:val="414832E5"/>
    <w:rsid w:val="41560C26"/>
    <w:rsid w:val="416B6DBE"/>
    <w:rsid w:val="41E9306C"/>
    <w:rsid w:val="421E0B50"/>
    <w:rsid w:val="42A00BEF"/>
    <w:rsid w:val="42C01097"/>
    <w:rsid w:val="42CC0BAF"/>
    <w:rsid w:val="42E26C70"/>
    <w:rsid w:val="42FE0D52"/>
    <w:rsid w:val="432F3AC7"/>
    <w:rsid w:val="43314C51"/>
    <w:rsid w:val="43393571"/>
    <w:rsid w:val="4349799B"/>
    <w:rsid w:val="435D5911"/>
    <w:rsid w:val="43610ED9"/>
    <w:rsid w:val="43837429"/>
    <w:rsid w:val="43865894"/>
    <w:rsid w:val="43A94328"/>
    <w:rsid w:val="43AA0EDA"/>
    <w:rsid w:val="43F71F01"/>
    <w:rsid w:val="43FA3A9A"/>
    <w:rsid w:val="440700DA"/>
    <w:rsid w:val="44151381"/>
    <w:rsid w:val="447366E5"/>
    <w:rsid w:val="449D1269"/>
    <w:rsid w:val="44AF7F36"/>
    <w:rsid w:val="44BB3AE9"/>
    <w:rsid w:val="44F25238"/>
    <w:rsid w:val="45173EBC"/>
    <w:rsid w:val="455652C2"/>
    <w:rsid w:val="45611A6C"/>
    <w:rsid w:val="45E35183"/>
    <w:rsid w:val="45E66B02"/>
    <w:rsid w:val="461D3B72"/>
    <w:rsid w:val="46256F3D"/>
    <w:rsid w:val="4687042A"/>
    <w:rsid w:val="46BA7686"/>
    <w:rsid w:val="46C15208"/>
    <w:rsid w:val="46C329DE"/>
    <w:rsid w:val="46D21DA6"/>
    <w:rsid w:val="46D43642"/>
    <w:rsid w:val="47024B89"/>
    <w:rsid w:val="47186D2D"/>
    <w:rsid w:val="475C0019"/>
    <w:rsid w:val="475F6FFF"/>
    <w:rsid w:val="476D72E1"/>
    <w:rsid w:val="47B42327"/>
    <w:rsid w:val="47F030E2"/>
    <w:rsid w:val="481132D5"/>
    <w:rsid w:val="48CC7477"/>
    <w:rsid w:val="490034B4"/>
    <w:rsid w:val="49250AC3"/>
    <w:rsid w:val="493C15D1"/>
    <w:rsid w:val="494A314E"/>
    <w:rsid w:val="495915E3"/>
    <w:rsid w:val="49B43E29"/>
    <w:rsid w:val="49F23BE3"/>
    <w:rsid w:val="49FB47C4"/>
    <w:rsid w:val="4A4D002A"/>
    <w:rsid w:val="4A5634BA"/>
    <w:rsid w:val="4AC76815"/>
    <w:rsid w:val="4AF4189F"/>
    <w:rsid w:val="4B095673"/>
    <w:rsid w:val="4B3A4E12"/>
    <w:rsid w:val="4B673FD2"/>
    <w:rsid w:val="4BC35FB7"/>
    <w:rsid w:val="4BD6D554"/>
    <w:rsid w:val="4BD85032"/>
    <w:rsid w:val="4C011FB4"/>
    <w:rsid w:val="4C3214F1"/>
    <w:rsid w:val="4C5778CF"/>
    <w:rsid w:val="4CC457D0"/>
    <w:rsid w:val="4CC615FD"/>
    <w:rsid w:val="4D094D75"/>
    <w:rsid w:val="4D483A1C"/>
    <w:rsid w:val="4D4938D7"/>
    <w:rsid w:val="4D8B67F6"/>
    <w:rsid w:val="4DC311DF"/>
    <w:rsid w:val="4DCA3CE8"/>
    <w:rsid w:val="4DE7DC18"/>
    <w:rsid w:val="4E033EBC"/>
    <w:rsid w:val="4E073C59"/>
    <w:rsid w:val="4E1150AB"/>
    <w:rsid w:val="4E844489"/>
    <w:rsid w:val="4E981050"/>
    <w:rsid w:val="4EBF2383"/>
    <w:rsid w:val="4F753207"/>
    <w:rsid w:val="4FFA401D"/>
    <w:rsid w:val="501E3772"/>
    <w:rsid w:val="50247144"/>
    <w:rsid w:val="502A2248"/>
    <w:rsid w:val="5090127E"/>
    <w:rsid w:val="509F1092"/>
    <w:rsid w:val="50D26870"/>
    <w:rsid w:val="50F87DA8"/>
    <w:rsid w:val="51061FA6"/>
    <w:rsid w:val="51580952"/>
    <w:rsid w:val="51F577C4"/>
    <w:rsid w:val="51FE2935"/>
    <w:rsid w:val="5207218C"/>
    <w:rsid w:val="522B2C66"/>
    <w:rsid w:val="523722E7"/>
    <w:rsid w:val="5308203E"/>
    <w:rsid w:val="534742A2"/>
    <w:rsid w:val="536729D5"/>
    <w:rsid w:val="53A73B70"/>
    <w:rsid w:val="53F51FF0"/>
    <w:rsid w:val="54314539"/>
    <w:rsid w:val="545216AE"/>
    <w:rsid w:val="54752E3E"/>
    <w:rsid w:val="54C77CA4"/>
    <w:rsid w:val="54E1485D"/>
    <w:rsid w:val="54F0443B"/>
    <w:rsid w:val="55105676"/>
    <w:rsid w:val="552A5DC5"/>
    <w:rsid w:val="554F180F"/>
    <w:rsid w:val="56260E7E"/>
    <w:rsid w:val="562E1BED"/>
    <w:rsid w:val="566864B5"/>
    <w:rsid w:val="56F249AC"/>
    <w:rsid w:val="57281034"/>
    <w:rsid w:val="575936FC"/>
    <w:rsid w:val="57842062"/>
    <w:rsid w:val="57C42F3C"/>
    <w:rsid w:val="57DC5854"/>
    <w:rsid w:val="580D0F91"/>
    <w:rsid w:val="58281E20"/>
    <w:rsid w:val="58527F9B"/>
    <w:rsid w:val="58593DA3"/>
    <w:rsid w:val="58902D3C"/>
    <w:rsid w:val="589726FF"/>
    <w:rsid w:val="58AE9931"/>
    <w:rsid w:val="58E01645"/>
    <w:rsid w:val="590160ED"/>
    <w:rsid w:val="5978475D"/>
    <w:rsid w:val="599C096B"/>
    <w:rsid w:val="59AD2AEE"/>
    <w:rsid w:val="59AD507E"/>
    <w:rsid w:val="59B2794E"/>
    <w:rsid w:val="59B79CCE"/>
    <w:rsid w:val="59E6075A"/>
    <w:rsid w:val="5A683267"/>
    <w:rsid w:val="5AD057D8"/>
    <w:rsid w:val="5AEB0435"/>
    <w:rsid w:val="5B12588A"/>
    <w:rsid w:val="5BB20DBA"/>
    <w:rsid w:val="5BC51B9B"/>
    <w:rsid w:val="5BD11200"/>
    <w:rsid w:val="5BD75588"/>
    <w:rsid w:val="5BE2711B"/>
    <w:rsid w:val="5BF92475"/>
    <w:rsid w:val="5C1B195E"/>
    <w:rsid w:val="5C1D29E3"/>
    <w:rsid w:val="5C416C19"/>
    <w:rsid w:val="5C4C4231"/>
    <w:rsid w:val="5C760D5D"/>
    <w:rsid w:val="5CAE582B"/>
    <w:rsid w:val="5CF07506"/>
    <w:rsid w:val="5CFE7C80"/>
    <w:rsid w:val="5E092631"/>
    <w:rsid w:val="5E54291C"/>
    <w:rsid w:val="5E6F680E"/>
    <w:rsid w:val="5EB4384C"/>
    <w:rsid w:val="5EC53236"/>
    <w:rsid w:val="5EE82429"/>
    <w:rsid w:val="5EF72C6B"/>
    <w:rsid w:val="5F1C2C02"/>
    <w:rsid w:val="5F28433E"/>
    <w:rsid w:val="5F2C01BD"/>
    <w:rsid w:val="5F434264"/>
    <w:rsid w:val="5F8529C6"/>
    <w:rsid w:val="5F98501F"/>
    <w:rsid w:val="5FB77E6B"/>
    <w:rsid w:val="5FBA14AF"/>
    <w:rsid w:val="5FE24D9F"/>
    <w:rsid w:val="5FF64C62"/>
    <w:rsid w:val="603040BD"/>
    <w:rsid w:val="60344C7B"/>
    <w:rsid w:val="60544CB9"/>
    <w:rsid w:val="606B08D9"/>
    <w:rsid w:val="60AE780D"/>
    <w:rsid w:val="61333583"/>
    <w:rsid w:val="61A55B6E"/>
    <w:rsid w:val="61CC5A65"/>
    <w:rsid w:val="61CF1286"/>
    <w:rsid w:val="61F63C4B"/>
    <w:rsid w:val="620A5184"/>
    <w:rsid w:val="621A74E5"/>
    <w:rsid w:val="622E4F3F"/>
    <w:rsid w:val="6279080D"/>
    <w:rsid w:val="6283706E"/>
    <w:rsid w:val="631D363E"/>
    <w:rsid w:val="63207313"/>
    <w:rsid w:val="635A2D1A"/>
    <w:rsid w:val="636E5628"/>
    <w:rsid w:val="639F41EB"/>
    <w:rsid w:val="641F4B74"/>
    <w:rsid w:val="648A6C22"/>
    <w:rsid w:val="64A73D00"/>
    <w:rsid w:val="65062218"/>
    <w:rsid w:val="651950AB"/>
    <w:rsid w:val="653A07B7"/>
    <w:rsid w:val="655B67A0"/>
    <w:rsid w:val="659E36CB"/>
    <w:rsid w:val="66065FEC"/>
    <w:rsid w:val="664465A5"/>
    <w:rsid w:val="668E56BC"/>
    <w:rsid w:val="67180FA6"/>
    <w:rsid w:val="67427A3E"/>
    <w:rsid w:val="679E23D2"/>
    <w:rsid w:val="67BF8EB9"/>
    <w:rsid w:val="67F5932B"/>
    <w:rsid w:val="68084924"/>
    <w:rsid w:val="6841395C"/>
    <w:rsid w:val="689627D5"/>
    <w:rsid w:val="68C95513"/>
    <w:rsid w:val="68EF1B5A"/>
    <w:rsid w:val="68F06C38"/>
    <w:rsid w:val="691E2E41"/>
    <w:rsid w:val="692D1AE1"/>
    <w:rsid w:val="69460D57"/>
    <w:rsid w:val="69652E0C"/>
    <w:rsid w:val="69A118B1"/>
    <w:rsid w:val="69BB5C7C"/>
    <w:rsid w:val="69E1587D"/>
    <w:rsid w:val="69EE459B"/>
    <w:rsid w:val="6A0D3435"/>
    <w:rsid w:val="6A523336"/>
    <w:rsid w:val="6A5F216E"/>
    <w:rsid w:val="6A771191"/>
    <w:rsid w:val="6A9B7231"/>
    <w:rsid w:val="6AD3146B"/>
    <w:rsid w:val="6B3A64D2"/>
    <w:rsid w:val="6B3D3D87"/>
    <w:rsid w:val="6B480E0D"/>
    <w:rsid w:val="6B52106A"/>
    <w:rsid w:val="6BD014A7"/>
    <w:rsid w:val="6BD91E7B"/>
    <w:rsid w:val="6C042E79"/>
    <w:rsid w:val="6C4E080C"/>
    <w:rsid w:val="6C7D68DC"/>
    <w:rsid w:val="6CAF0EC7"/>
    <w:rsid w:val="6CB27B7A"/>
    <w:rsid w:val="6D387105"/>
    <w:rsid w:val="6D415358"/>
    <w:rsid w:val="6D425CFD"/>
    <w:rsid w:val="6D5863A6"/>
    <w:rsid w:val="6D5B583A"/>
    <w:rsid w:val="6D850165"/>
    <w:rsid w:val="6DA12016"/>
    <w:rsid w:val="6DFC7123"/>
    <w:rsid w:val="6E300925"/>
    <w:rsid w:val="6E6B10E2"/>
    <w:rsid w:val="6E7643C5"/>
    <w:rsid w:val="6E9F563F"/>
    <w:rsid w:val="6EB56801"/>
    <w:rsid w:val="6ECF5745"/>
    <w:rsid w:val="6F2A6E9B"/>
    <w:rsid w:val="6F65392A"/>
    <w:rsid w:val="6F657251"/>
    <w:rsid w:val="6F930E05"/>
    <w:rsid w:val="6F962BC7"/>
    <w:rsid w:val="6F971964"/>
    <w:rsid w:val="6FC40FE0"/>
    <w:rsid w:val="6FC771F3"/>
    <w:rsid w:val="702C48A1"/>
    <w:rsid w:val="703E6382"/>
    <w:rsid w:val="70C66AA3"/>
    <w:rsid w:val="70E34B2E"/>
    <w:rsid w:val="70E7136B"/>
    <w:rsid w:val="712A2343"/>
    <w:rsid w:val="714056A1"/>
    <w:rsid w:val="717A7AAE"/>
    <w:rsid w:val="71934A3D"/>
    <w:rsid w:val="71B65F0C"/>
    <w:rsid w:val="722C37FD"/>
    <w:rsid w:val="722C77DC"/>
    <w:rsid w:val="725A6005"/>
    <w:rsid w:val="72763367"/>
    <w:rsid w:val="73136438"/>
    <w:rsid w:val="73360277"/>
    <w:rsid w:val="733B5276"/>
    <w:rsid w:val="738A19C7"/>
    <w:rsid w:val="738C1984"/>
    <w:rsid w:val="73F956C1"/>
    <w:rsid w:val="74180435"/>
    <w:rsid w:val="74321579"/>
    <w:rsid w:val="743C0E2B"/>
    <w:rsid w:val="74665B7D"/>
    <w:rsid w:val="7481636F"/>
    <w:rsid w:val="74A519C0"/>
    <w:rsid w:val="74B16DA1"/>
    <w:rsid w:val="74E15348"/>
    <w:rsid w:val="74F00593"/>
    <w:rsid w:val="752E1B6A"/>
    <w:rsid w:val="75435F27"/>
    <w:rsid w:val="7599180F"/>
    <w:rsid w:val="75C426E1"/>
    <w:rsid w:val="75CC66A8"/>
    <w:rsid w:val="75EF2CA2"/>
    <w:rsid w:val="75F52144"/>
    <w:rsid w:val="761D1F25"/>
    <w:rsid w:val="765C4E27"/>
    <w:rsid w:val="765F08AA"/>
    <w:rsid w:val="768844FD"/>
    <w:rsid w:val="76941EAC"/>
    <w:rsid w:val="76971C2A"/>
    <w:rsid w:val="76A326B1"/>
    <w:rsid w:val="76AA6C3C"/>
    <w:rsid w:val="76CB2972"/>
    <w:rsid w:val="77D901DF"/>
    <w:rsid w:val="77F9047B"/>
    <w:rsid w:val="7808174F"/>
    <w:rsid w:val="781858F3"/>
    <w:rsid w:val="786E3E2A"/>
    <w:rsid w:val="78800B64"/>
    <w:rsid w:val="788413D0"/>
    <w:rsid w:val="78EE71BC"/>
    <w:rsid w:val="79624073"/>
    <w:rsid w:val="79635569"/>
    <w:rsid w:val="79737F17"/>
    <w:rsid w:val="79851FAD"/>
    <w:rsid w:val="79B3683E"/>
    <w:rsid w:val="7A6D5CF5"/>
    <w:rsid w:val="7A811C8D"/>
    <w:rsid w:val="7A8D5AF2"/>
    <w:rsid w:val="7AD720B3"/>
    <w:rsid w:val="7AF96814"/>
    <w:rsid w:val="7B2B4678"/>
    <w:rsid w:val="7B567CED"/>
    <w:rsid w:val="7B9A137C"/>
    <w:rsid w:val="7C286408"/>
    <w:rsid w:val="7C2D250B"/>
    <w:rsid w:val="7C6A65E7"/>
    <w:rsid w:val="7C6C4FCB"/>
    <w:rsid w:val="7C7A5350"/>
    <w:rsid w:val="7CD074D2"/>
    <w:rsid w:val="7D1A6177"/>
    <w:rsid w:val="7DA63EE4"/>
    <w:rsid w:val="7DC3749B"/>
    <w:rsid w:val="7DC91981"/>
    <w:rsid w:val="7DE73C26"/>
    <w:rsid w:val="7DF6D1E0"/>
    <w:rsid w:val="7DF83751"/>
    <w:rsid w:val="7E636123"/>
    <w:rsid w:val="7E824719"/>
    <w:rsid w:val="7EBC1948"/>
    <w:rsid w:val="7ED71FB7"/>
    <w:rsid w:val="7F1F6D83"/>
    <w:rsid w:val="7F486B03"/>
    <w:rsid w:val="7F5E9B17"/>
    <w:rsid w:val="7F71566D"/>
    <w:rsid w:val="7F717642"/>
    <w:rsid w:val="7F87574A"/>
    <w:rsid w:val="7FBA5A25"/>
    <w:rsid w:val="7FE7F169"/>
    <w:rsid w:val="7FFD9BCA"/>
    <w:rsid w:val="ABFF98E1"/>
    <w:rsid w:val="BB3586C6"/>
    <w:rsid w:val="BBBF5BE5"/>
    <w:rsid w:val="BD773A33"/>
    <w:rsid w:val="BF966767"/>
    <w:rsid w:val="D7F78174"/>
    <w:rsid w:val="DBB2F892"/>
    <w:rsid w:val="DFFBE039"/>
    <w:rsid w:val="E72F2771"/>
    <w:rsid w:val="E9DB28CF"/>
    <w:rsid w:val="EBDCDAFC"/>
    <w:rsid w:val="EEF719FF"/>
    <w:rsid w:val="EFFE6F8A"/>
    <w:rsid w:val="F5ED2F83"/>
    <w:rsid w:val="F742EE09"/>
    <w:rsid w:val="F7F9410C"/>
    <w:rsid w:val="FBB562C3"/>
    <w:rsid w:val="FBBFD686"/>
    <w:rsid w:val="FBF79989"/>
    <w:rsid w:val="FBFFDBC7"/>
    <w:rsid w:val="FE7F6A84"/>
    <w:rsid w:val="FF7B5FB1"/>
    <w:rsid w:val="FF7F9A1C"/>
    <w:rsid w:val="FFFF2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Lines/>
      <w:widowControl/>
      <w:spacing w:before="340" w:after="330" w:line="578" w:lineRule="auto"/>
      <w:jc w:val="center"/>
      <w:outlineLvl w:val="0"/>
    </w:pPr>
    <w:rPr>
      <w:rFonts w:eastAsia="黑体"/>
      <w:kern w:val="44"/>
      <w:sz w:val="32"/>
      <w:szCs w:val="44"/>
    </w:rPr>
  </w:style>
  <w:style w:type="paragraph" w:styleId="3">
    <w:name w:val="heading 2"/>
    <w:basedOn w:val="1"/>
    <w:next w:val="4"/>
    <w:autoRedefine/>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5">
    <w:name w:val="heading 3"/>
    <w:basedOn w:val="1"/>
    <w:next w:val="1"/>
    <w:autoRedefine/>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6">
    <w:name w:val="heading 5"/>
    <w:basedOn w:val="1"/>
    <w:next w:val="1"/>
    <w:autoRedefine/>
    <w:qFormat/>
    <w:uiPriority w:val="0"/>
    <w:pPr>
      <w:widowControl/>
      <w:numPr>
        <w:ilvl w:val="4"/>
        <w:numId w:val="1"/>
      </w:numPr>
      <w:spacing w:before="240" w:after="60"/>
      <w:jc w:val="left"/>
      <w:outlineLvl w:val="4"/>
    </w:pPr>
    <w:rPr>
      <w:rFonts w:ascii="Arial" w:hAnsi="Arial"/>
      <w:b/>
      <w:i/>
      <w:kern w:val="0"/>
      <w:sz w:val="26"/>
    </w:rPr>
  </w:style>
  <w:style w:type="paragraph" w:styleId="7">
    <w:name w:val="heading 6"/>
    <w:basedOn w:val="1"/>
    <w:next w:val="1"/>
    <w:autoRedefine/>
    <w:qFormat/>
    <w:uiPriority w:val="0"/>
    <w:pPr>
      <w:widowControl/>
      <w:numPr>
        <w:ilvl w:val="5"/>
        <w:numId w:val="1"/>
      </w:numPr>
      <w:spacing w:before="240" w:after="60"/>
      <w:jc w:val="left"/>
      <w:outlineLvl w:val="5"/>
    </w:pPr>
    <w:rPr>
      <w:rFonts w:ascii="Arial" w:hAnsi="Arial"/>
      <w:b/>
      <w:kern w:val="0"/>
      <w:sz w:val="24"/>
    </w:rPr>
  </w:style>
  <w:style w:type="paragraph" w:styleId="8">
    <w:name w:val="heading 7"/>
    <w:basedOn w:val="1"/>
    <w:next w:val="1"/>
    <w:autoRedefine/>
    <w:qFormat/>
    <w:uiPriority w:val="0"/>
    <w:pPr>
      <w:keepNext/>
      <w:keepLines/>
      <w:widowControl/>
      <w:spacing w:before="240" w:after="64" w:line="320" w:lineRule="auto"/>
      <w:jc w:val="left"/>
      <w:outlineLvl w:val="6"/>
    </w:pPr>
    <w:rPr>
      <w:b/>
      <w:bCs/>
      <w:kern w:val="0"/>
      <w:sz w:val="24"/>
      <w:szCs w:val="24"/>
    </w:rPr>
  </w:style>
  <w:style w:type="paragraph" w:styleId="9">
    <w:name w:val="heading 8"/>
    <w:basedOn w:val="1"/>
    <w:next w:val="1"/>
    <w:autoRedefine/>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autoRedefine/>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autoRedefine/>
    <w:semiHidden/>
    <w:qFormat/>
    <w:uiPriority w:val="0"/>
    <w:pPr>
      <w:spacing w:before="120"/>
    </w:pPr>
    <w:rPr>
      <w:rFonts w:ascii="Arial" w:hAnsi="Arial" w:cs="Arial"/>
      <w:sz w:val="24"/>
      <w:szCs w:val="24"/>
    </w:rPr>
  </w:style>
  <w:style w:type="paragraph" w:styleId="11">
    <w:name w:val="Normal Indent"/>
    <w:basedOn w:val="1"/>
    <w:autoRedefine/>
    <w:qFormat/>
    <w:uiPriority w:val="0"/>
    <w:pPr>
      <w:spacing w:line="360" w:lineRule="auto"/>
      <w:ind w:firstLine="420"/>
    </w:pPr>
    <w:rPr>
      <w:sz w:val="24"/>
      <w:szCs w:val="24"/>
    </w:rPr>
  </w:style>
  <w:style w:type="paragraph" w:styleId="12">
    <w:name w:val="annotation text"/>
    <w:basedOn w:val="1"/>
    <w:autoRedefine/>
    <w:qFormat/>
    <w:uiPriority w:val="0"/>
    <w:pPr>
      <w:adjustRightInd w:val="0"/>
      <w:spacing w:line="360" w:lineRule="atLeast"/>
      <w:jc w:val="left"/>
      <w:textAlignment w:val="baseline"/>
    </w:pPr>
    <w:rPr>
      <w:kern w:val="0"/>
      <w:sz w:val="24"/>
    </w:rPr>
  </w:style>
  <w:style w:type="paragraph" w:styleId="13">
    <w:name w:val="Body Text"/>
    <w:basedOn w:val="1"/>
    <w:autoRedefine/>
    <w:qFormat/>
    <w:uiPriority w:val="0"/>
    <w:rPr>
      <w:rFonts w:ascii="宋体" w:hAnsi="宋体"/>
      <w:sz w:val="24"/>
      <w:szCs w:val="24"/>
    </w:rPr>
  </w:style>
  <w:style w:type="paragraph" w:styleId="14">
    <w:name w:val="Body Text Indent"/>
    <w:basedOn w:val="1"/>
    <w:autoRedefine/>
    <w:qFormat/>
    <w:uiPriority w:val="0"/>
    <w:pPr>
      <w:ind w:firstLine="560" w:firstLineChars="200"/>
    </w:pPr>
    <w:rPr>
      <w:rFonts w:ascii="宋体" w:hAnsi="宋体"/>
      <w:sz w:val="28"/>
      <w:szCs w:val="24"/>
    </w:rPr>
  </w:style>
  <w:style w:type="paragraph" w:styleId="15">
    <w:name w:val="Plain Text"/>
    <w:basedOn w:val="1"/>
    <w:link w:val="91"/>
    <w:autoRedefine/>
    <w:qFormat/>
    <w:uiPriority w:val="0"/>
    <w:rPr>
      <w:rFonts w:ascii="宋体" w:hAnsi="Courier New"/>
      <w:szCs w:val="24"/>
    </w:rPr>
  </w:style>
  <w:style w:type="paragraph" w:styleId="16">
    <w:name w:val="Date"/>
    <w:basedOn w:val="1"/>
    <w:next w:val="1"/>
    <w:autoRedefine/>
    <w:qFormat/>
    <w:uiPriority w:val="0"/>
    <w:pPr>
      <w:ind w:left="100" w:leftChars="2500"/>
    </w:pPr>
    <w:rPr>
      <w:rFonts w:ascii="宋体" w:hAnsi="宋体"/>
      <w:sz w:val="28"/>
      <w:szCs w:val="24"/>
    </w:rPr>
  </w:style>
  <w:style w:type="paragraph" w:styleId="17">
    <w:name w:val="Body Text Indent 2"/>
    <w:basedOn w:val="1"/>
    <w:autoRedefine/>
    <w:qFormat/>
    <w:uiPriority w:val="0"/>
    <w:pPr>
      <w:ind w:left="360"/>
    </w:pPr>
    <w:rPr>
      <w:sz w:val="24"/>
      <w:szCs w:val="24"/>
    </w:rPr>
  </w:style>
  <w:style w:type="paragraph" w:styleId="18">
    <w:name w:val="Balloon Text"/>
    <w:basedOn w:val="1"/>
    <w:link w:val="90"/>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autoRedefine/>
    <w:qFormat/>
    <w:uiPriority w:val="0"/>
    <w:pPr>
      <w:tabs>
        <w:tab w:val="right" w:leader="dot" w:pos="8505"/>
      </w:tabs>
      <w:spacing w:line="500" w:lineRule="exact"/>
    </w:pPr>
    <w:rPr>
      <w:rFonts w:ascii="宋体" w:hAnsi="宋体" w:eastAsia="仿宋_GB2312"/>
      <w:b/>
      <w:sz w:val="24"/>
      <w:szCs w:val="24"/>
    </w:rPr>
  </w:style>
  <w:style w:type="paragraph" w:styleId="22">
    <w:name w:val="index heading"/>
    <w:basedOn w:val="1"/>
    <w:next w:val="23"/>
    <w:qFormat/>
    <w:uiPriority w:val="0"/>
    <w:pPr>
      <w:adjustRightInd/>
      <w:spacing w:line="240" w:lineRule="auto"/>
      <w:textAlignment w:val="auto"/>
    </w:pPr>
    <w:rPr>
      <w:kern w:val="2"/>
      <w:szCs w:val="21"/>
    </w:rPr>
  </w:style>
  <w:style w:type="paragraph" w:styleId="23">
    <w:name w:val="index 1"/>
    <w:basedOn w:val="1"/>
    <w:next w:val="1"/>
    <w:qFormat/>
    <w:uiPriority w:val="0"/>
  </w:style>
  <w:style w:type="paragraph" w:styleId="24">
    <w:name w:val="Body Text Indent 3"/>
    <w:basedOn w:val="1"/>
    <w:autoRedefine/>
    <w:qFormat/>
    <w:uiPriority w:val="0"/>
    <w:pPr>
      <w:keepLines/>
      <w:widowControl/>
      <w:tabs>
        <w:tab w:val="left" w:pos="1004"/>
      </w:tabs>
      <w:spacing w:line="360" w:lineRule="auto"/>
      <w:ind w:left="1079" w:leftChars="514"/>
    </w:pPr>
    <w:rPr>
      <w:rFonts w:ascii="宋体" w:hAnsi="宋体"/>
      <w:bCs/>
      <w:szCs w:val="24"/>
    </w:rPr>
  </w:style>
  <w:style w:type="paragraph" w:styleId="25">
    <w:name w:val="toc 2"/>
    <w:basedOn w:val="1"/>
    <w:next w:val="1"/>
    <w:autoRedefine/>
    <w:semiHidden/>
    <w:qFormat/>
    <w:uiPriority w:val="0"/>
    <w:pPr>
      <w:ind w:left="420" w:leftChars="200"/>
    </w:pPr>
  </w:style>
  <w:style w:type="paragraph" w:styleId="26">
    <w:name w:val="Body Text 2"/>
    <w:basedOn w:val="1"/>
    <w:autoRedefine/>
    <w:qFormat/>
    <w:uiPriority w:val="0"/>
    <w:rPr>
      <w:rFonts w:ascii="宋体" w:hAnsi="宋体"/>
      <w:sz w:val="28"/>
      <w:szCs w:val="24"/>
    </w:rPr>
  </w:style>
  <w:style w:type="paragraph" w:styleId="27">
    <w:name w:val="Normal (Web)"/>
    <w:basedOn w:val="1"/>
    <w:autoRedefine/>
    <w:qFormat/>
    <w:uiPriority w:val="0"/>
    <w:pPr>
      <w:widowControl/>
      <w:spacing w:before="100" w:beforeAutospacing="1" w:after="100" w:afterAutospacing="1"/>
      <w:jc w:val="left"/>
    </w:pPr>
    <w:rPr>
      <w:rFonts w:ascii="宋体" w:hAnsi="宋体"/>
      <w:color w:val="000000"/>
      <w:kern w:val="0"/>
      <w:sz w:val="24"/>
      <w:szCs w:val="24"/>
    </w:rPr>
  </w:style>
  <w:style w:type="paragraph" w:styleId="28">
    <w:name w:val="Title"/>
    <w:basedOn w:val="1"/>
    <w:link w:val="88"/>
    <w:autoRedefine/>
    <w:qFormat/>
    <w:uiPriority w:val="0"/>
    <w:pPr>
      <w:jc w:val="center"/>
    </w:pPr>
    <w:rPr>
      <w:rFonts w:ascii="Cambria" w:hAnsi="Cambria"/>
      <w:b/>
      <w:bCs/>
      <w:sz w:val="32"/>
      <w:szCs w:val="32"/>
    </w:rPr>
  </w:style>
  <w:style w:type="paragraph" w:styleId="29">
    <w:name w:val="Body Text First Indent 2"/>
    <w:basedOn w:val="14"/>
    <w:next w:val="30"/>
    <w:autoRedefine/>
    <w:qFormat/>
    <w:uiPriority w:val="0"/>
    <w:pPr>
      <w:spacing w:after="120"/>
      <w:ind w:left="420" w:leftChars="200" w:firstLine="420"/>
    </w:pPr>
    <w:rPr>
      <w:rFonts w:ascii="仿宋_GB2312" w:hAnsi="Times New Roman" w:eastAsia="仿宋_GB2312"/>
      <w:sz w:val="32"/>
      <w:szCs w:val="32"/>
    </w:rPr>
  </w:style>
  <w:style w:type="paragraph" w:customStyle="1" w:styleId="30">
    <w:name w:val="*正文"/>
    <w:basedOn w:val="1"/>
    <w:qFormat/>
    <w:uiPriority w:val="0"/>
    <w:pPr>
      <w:spacing w:line="360" w:lineRule="auto"/>
      <w:ind w:firstLine="480"/>
    </w:pPr>
    <w:rPr>
      <w:rFonts w:hAnsi="宋体" w:cs="仿宋_GB2312"/>
      <w:color w:val="000000"/>
      <w:sz w:val="24"/>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page number"/>
    <w:basedOn w:val="33"/>
    <w:autoRedefine/>
    <w:qFormat/>
    <w:uiPriority w:val="0"/>
  </w:style>
  <w:style w:type="character" w:styleId="36">
    <w:name w:val="Emphasis"/>
    <w:autoRedefine/>
    <w:qFormat/>
    <w:uiPriority w:val="0"/>
    <w:rPr>
      <w:i/>
      <w:iCs/>
    </w:rPr>
  </w:style>
  <w:style w:type="character" w:styleId="37">
    <w:name w:val="Hyperlink"/>
    <w:autoRedefine/>
    <w:qFormat/>
    <w:uiPriority w:val="0"/>
    <w:rPr>
      <w:color w:val="0000FF"/>
      <w:u w:val="single"/>
    </w:rPr>
  </w:style>
  <w:style w:type="paragraph" w:customStyle="1" w:styleId="38">
    <w:name w:val="正文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5"/>
    <w:basedOn w:val="1"/>
    <w:autoRedefine/>
    <w:qFormat/>
    <w:uiPriority w:val="0"/>
    <w:rPr>
      <w:szCs w:val="24"/>
    </w:rPr>
  </w:style>
  <w:style w:type="paragraph" w:customStyle="1" w:styleId="40">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页眉 New New"/>
    <w:basedOn w:val="42"/>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2">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页眉 New New New New New"/>
    <w:basedOn w:val="44"/>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4">
    <w:name w:val="正文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页眉 New New New New New New New"/>
    <w:basedOn w:val="46"/>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6">
    <w:name w:val="正文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页脚 New New New New New New New New New New"/>
    <w:basedOn w:val="48"/>
    <w:autoRedefine/>
    <w:qFormat/>
    <w:uiPriority w:val="0"/>
    <w:pPr>
      <w:tabs>
        <w:tab w:val="center" w:pos="4153"/>
        <w:tab w:val="right" w:pos="8306"/>
      </w:tabs>
      <w:snapToGrid w:val="0"/>
      <w:jc w:val="left"/>
    </w:pPr>
    <w:rPr>
      <w:sz w:val="18"/>
    </w:rPr>
  </w:style>
  <w:style w:type="paragraph" w:customStyle="1" w:styleId="48">
    <w:name w:val="正文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普通(网站) New"/>
    <w:basedOn w:val="50"/>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50">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页脚 New New New New New New New"/>
    <w:basedOn w:val="46"/>
    <w:autoRedefine/>
    <w:qFormat/>
    <w:uiPriority w:val="0"/>
    <w:pPr>
      <w:tabs>
        <w:tab w:val="center" w:pos="4153"/>
        <w:tab w:val="right" w:pos="8306"/>
      </w:tabs>
      <w:snapToGrid w:val="0"/>
      <w:jc w:val="left"/>
    </w:pPr>
    <w:rPr>
      <w:sz w:val="18"/>
    </w:rPr>
  </w:style>
  <w:style w:type="paragraph" w:customStyle="1" w:styleId="52">
    <w:name w:val="页脚 New New New"/>
    <w:basedOn w:val="53"/>
    <w:autoRedefine/>
    <w:qFormat/>
    <w:uiPriority w:val="0"/>
    <w:pPr>
      <w:tabs>
        <w:tab w:val="center" w:pos="4153"/>
        <w:tab w:val="right" w:pos="8306"/>
      </w:tabs>
      <w:snapToGrid w:val="0"/>
      <w:jc w:val="left"/>
    </w:pPr>
    <w:rPr>
      <w:sz w:val="18"/>
    </w:rPr>
  </w:style>
  <w:style w:type="paragraph" w:customStyle="1" w:styleId="53">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正文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样式 标题 3 + (中文) 黑体 小四 非加粗 段前: 7.8 磅 段后: 0 磅 行距: 固定值 20 磅"/>
    <w:basedOn w:val="5"/>
    <w:autoRedefine/>
    <w:qFormat/>
    <w:uiPriority w:val="0"/>
    <w:pPr>
      <w:spacing w:before="0" w:after="0" w:line="400" w:lineRule="exact"/>
    </w:pPr>
    <w:rPr>
      <w:rFonts w:cs="宋体"/>
      <w:b/>
      <w:bCs/>
      <w:szCs w:val="20"/>
    </w:rPr>
  </w:style>
  <w:style w:type="paragraph" w:customStyle="1" w:styleId="56">
    <w:name w:val="_Style 8"/>
    <w:basedOn w:val="1"/>
    <w:next w:val="24"/>
    <w:autoRedefine/>
    <w:qFormat/>
    <w:uiPriority w:val="0"/>
    <w:pPr>
      <w:spacing w:line="360" w:lineRule="auto"/>
      <w:ind w:firstLine="632"/>
    </w:pPr>
    <w:rPr>
      <w:rFonts w:ascii="黑体" w:eastAsia="黑体"/>
      <w:sz w:val="28"/>
    </w:rPr>
  </w:style>
  <w:style w:type="paragraph" w:customStyle="1" w:styleId="57">
    <w:name w:val="正文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页脚 New New New New New New New New New"/>
    <w:basedOn w:val="59"/>
    <w:autoRedefine/>
    <w:qFormat/>
    <w:uiPriority w:val="0"/>
    <w:pPr>
      <w:tabs>
        <w:tab w:val="center" w:pos="4153"/>
        <w:tab w:val="right" w:pos="8306"/>
      </w:tabs>
      <w:snapToGrid w:val="0"/>
      <w:jc w:val="left"/>
    </w:pPr>
    <w:rPr>
      <w:sz w:val="18"/>
    </w:rPr>
  </w:style>
  <w:style w:type="paragraph" w:customStyle="1" w:styleId="59">
    <w:name w:val="正文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页眉 New"/>
    <w:basedOn w:val="60"/>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2">
    <w:name w:val="普通(网站) New New"/>
    <w:basedOn w:val="40"/>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63">
    <w:name w:val="页眉 New New New New New New New New"/>
    <w:basedOn w:val="57"/>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4">
    <w:name w:val="页脚 New New New New New New New New"/>
    <w:basedOn w:val="57"/>
    <w:autoRedefine/>
    <w:qFormat/>
    <w:uiPriority w:val="0"/>
    <w:pPr>
      <w:tabs>
        <w:tab w:val="center" w:pos="4153"/>
        <w:tab w:val="right" w:pos="8306"/>
      </w:tabs>
      <w:snapToGrid w:val="0"/>
      <w:jc w:val="left"/>
    </w:pPr>
    <w:rPr>
      <w:sz w:val="18"/>
    </w:rPr>
  </w:style>
  <w:style w:type="paragraph" w:customStyle="1" w:styleId="65">
    <w:name w:val="页眉 New New New New New New New New New New"/>
    <w:basedOn w:val="48"/>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6">
    <w:name w:val="页眉 New New New New New New New New New"/>
    <w:basedOn w:val="59"/>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7">
    <w:name w:val="reader-word-layer reader-word-s1-18"/>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正文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页脚 New New"/>
    <w:basedOn w:val="42"/>
    <w:autoRedefine/>
    <w:qFormat/>
    <w:uiPriority w:val="0"/>
    <w:pPr>
      <w:tabs>
        <w:tab w:val="center" w:pos="4153"/>
        <w:tab w:val="right" w:pos="8306"/>
      </w:tabs>
      <w:snapToGrid w:val="0"/>
      <w:jc w:val="left"/>
    </w:pPr>
    <w:rPr>
      <w:sz w:val="18"/>
    </w:rPr>
  </w:style>
  <w:style w:type="paragraph" w:customStyle="1" w:styleId="70">
    <w:name w:val="正文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Char"/>
    <w:basedOn w:val="1"/>
    <w:autoRedefine/>
    <w:qFormat/>
    <w:uiPriority w:val="0"/>
    <w:rPr>
      <w:rFonts w:ascii="宋体"/>
      <w:kern w:val="0"/>
      <w:sz w:val="24"/>
      <w:szCs w:val="24"/>
    </w:rPr>
  </w:style>
  <w:style w:type="paragraph" w:customStyle="1" w:styleId="72">
    <w:name w:val="标题 1 New"/>
    <w:basedOn w:val="60"/>
    <w:next w:val="60"/>
    <w:autoRedefine/>
    <w:qFormat/>
    <w:uiPriority w:val="0"/>
    <w:pPr>
      <w:keepNext/>
      <w:keepLines/>
      <w:spacing w:before="340" w:after="330" w:line="576" w:lineRule="auto"/>
      <w:outlineLvl w:val="0"/>
    </w:pPr>
    <w:rPr>
      <w:b/>
      <w:kern w:val="44"/>
      <w:sz w:val="44"/>
    </w:rPr>
  </w:style>
  <w:style w:type="paragraph" w:customStyle="1" w:styleId="73">
    <w:name w:val="页脚 New New New New New New"/>
    <w:basedOn w:val="74"/>
    <w:autoRedefine/>
    <w:qFormat/>
    <w:uiPriority w:val="0"/>
    <w:pPr>
      <w:tabs>
        <w:tab w:val="center" w:pos="4153"/>
        <w:tab w:val="right" w:pos="8306"/>
      </w:tabs>
      <w:snapToGrid w:val="0"/>
      <w:jc w:val="left"/>
    </w:pPr>
    <w:rPr>
      <w:sz w:val="18"/>
    </w:rPr>
  </w:style>
  <w:style w:type="paragraph" w:customStyle="1" w:styleId="74">
    <w:name w:val="正文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页脚 New New New New"/>
    <w:basedOn w:val="76"/>
    <w:autoRedefine/>
    <w:qFormat/>
    <w:uiPriority w:val="0"/>
    <w:pPr>
      <w:tabs>
        <w:tab w:val="center" w:pos="4153"/>
        <w:tab w:val="right" w:pos="8306"/>
      </w:tabs>
      <w:snapToGrid w:val="0"/>
      <w:jc w:val="left"/>
    </w:pPr>
    <w:rPr>
      <w:sz w:val="18"/>
    </w:rPr>
  </w:style>
  <w:style w:type="paragraph" w:customStyle="1" w:styleId="76">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77">
    <w:name w:val="样式1"/>
    <w:basedOn w:val="2"/>
    <w:autoRedefine/>
    <w:qFormat/>
    <w:uiPriority w:val="0"/>
    <w:pPr>
      <w:tabs>
        <w:tab w:val="left" w:pos="816"/>
      </w:tabs>
      <w:spacing w:line="0" w:lineRule="atLeast"/>
      <w:ind w:left="816" w:hanging="816"/>
    </w:pPr>
  </w:style>
  <w:style w:type="paragraph" w:customStyle="1" w:styleId="78">
    <w:name w:val="页眉 New New New New"/>
    <w:basedOn w:val="70"/>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Char Char Char Char"/>
    <w:basedOn w:val="1"/>
    <w:autoRedefine/>
    <w:qFormat/>
    <w:uiPriority w:val="0"/>
    <w:rPr>
      <w:rFonts w:eastAsia="仿宋_GB2312"/>
      <w:sz w:val="32"/>
    </w:rPr>
  </w:style>
  <w:style w:type="paragraph" w:customStyle="1" w:styleId="80">
    <w:name w:val="标题 2 New New"/>
    <w:basedOn w:val="76"/>
    <w:next w:val="76"/>
    <w:autoRedefine/>
    <w:qFormat/>
    <w:uiPriority w:val="0"/>
    <w:pPr>
      <w:keepNext/>
      <w:keepLines/>
      <w:adjustRightInd w:val="0"/>
      <w:snapToGrid w:val="0"/>
      <w:spacing w:line="360" w:lineRule="auto"/>
      <w:outlineLvl w:val="1"/>
    </w:pPr>
    <w:rPr>
      <w:rFonts w:ascii="宋体" w:hAnsi="宋体"/>
    </w:rPr>
  </w:style>
  <w:style w:type="paragraph" w:customStyle="1" w:styleId="81">
    <w:name w:val="页脚 New New New New New"/>
    <w:basedOn w:val="44"/>
    <w:autoRedefine/>
    <w:qFormat/>
    <w:uiPriority w:val="0"/>
    <w:pPr>
      <w:tabs>
        <w:tab w:val="center" w:pos="4153"/>
        <w:tab w:val="right" w:pos="8306"/>
      </w:tabs>
      <w:snapToGrid w:val="0"/>
      <w:jc w:val="left"/>
    </w:pPr>
    <w:rPr>
      <w:sz w:val="18"/>
    </w:rPr>
  </w:style>
  <w:style w:type="paragraph" w:customStyle="1" w:styleId="82">
    <w:name w:val="reader-word-layer reader-word-s1-9"/>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页脚 New"/>
    <w:basedOn w:val="60"/>
    <w:autoRedefine/>
    <w:qFormat/>
    <w:uiPriority w:val="0"/>
    <w:pPr>
      <w:tabs>
        <w:tab w:val="center" w:pos="4153"/>
        <w:tab w:val="right" w:pos="8306"/>
      </w:tabs>
      <w:snapToGrid w:val="0"/>
      <w:jc w:val="left"/>
    </w:pPr>
    <w:rPr>
      <w:sz w:val="18"/>
    </w:rPr>
  </w:style>
  <w:style w:type="paragraph" w:customStyle="1" w:styleId="84">
    <w:name w:val="页眉 New New New"/>
    <w:basedOn w:val="53"/>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Cs w:val="20"/>
    </w:rPr>
  </w:style>
  <w:style w:type="paragraph" w:customStyle="1" w:styleId="86">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页眉 New New New New New New"/>
    <w:basedOn w:val="74"/>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character" w:customStyle="1" w:styleId="88">
    <w:name w:val="标题 字符"/>
    <w:link w:val="28"/>
    <w:autoRedefine/>
    <w:qFormat/>
    <w:locked/>
    <w:uiPriority w:val="0"/>
    <w:rPr>
      <w:rFonts w:ascii="Cambria" w:hAnsi="Cambria"/>
      <w:b/>
      <w:bCs/>
      <w:kern w:val="2"/>
      <w:sz w:val="32"/>
      <w:szCs w:val="32"/>
      <w:lang w:bidi="ar-SA"/>
    </w:rPr>
  </w:style>
  <w:style w:type="character" w:customStyle="1" w:styleId="89">
    <w:name w:val="标题 Char"/>
    <w:autoRedefine/>
    <w:qFormat/>
    <w:uiPriority w:val="0"/>
    <w:rPr>
      <w:rFonts w:ascii="Cambria" w:hAnsi="Cambria" w:cs="Times New Roman"/>
      <w:b/>
      <w:bCs/>
      <w:kern w:val="2"/>
      <w:sz w:val="36"/>
      <w:szCs w:val="32"/>
    </w:rPr>
  </w:style>
  <w:style w:type="character" w:customStyle="1" w:styleId="90">
    <w:name w:val="批注框文本 字符"/>
    <w:link w:val="18"/>
    <w:autoRedefine/>
    <w:qFormat/>
    <w:uiPriority w:val="0"/>
    <w:rPr>
      <w:rFonts w:eastAsia="宋体"/>
      <w:kern w:val="2"/>
      <w:sz w:val="18"/>
      <w:szCs w:val="18"/>
      <w:lang w:val="en-US" w:eastAsia="zh-CN" w:bidi="ar-SA"/>
    </w:rPr>
  </w:style>
  <w:style w:type="character" w:customStyle="1" w:styleId="91">
    <w:name w:val="纯文本 字符"/>
    <w:link w:val="15"/>
    <w:autoRedefine/>
    <w:qFormat/>
    <w:uiPriority w:val="0"/>
    <w:rPr>
      <w:rFonts w:ascii="宋体" w:hAnsi="Courier New" w:eastAsia="宋体"/>
      <w:kern w:val="2"/>
      <w:sz w:val="21"/>
      <w:szCs w:val="24"/>
      <w:lang w:val="en-US" w:eastAsia="zh-CN" w:bidi="ar-SA"/>
    </w:rPr>
  </w:style>
  <w:style w:type="character" w:customStyle="1" w:styleId="92">
    <w:name w:val="标题 Char1"/>
    <w:autoRedefine/>
    <w:qFormat/>
    <w:uiPriority w:val="0"/>
    <w:rPr>
      <w:rFonts w:ascii="Cambria" w:hAnsi="Cambria" w:cs="Times New Roman"/>
      <w:b/>
      <w:bCs/>
      <w:kern w:val="2"/>
      <w:sz w:val="32"/>
      <w:szCs w:val="32"/>
    </w:rPr>
  </w:style>
  <w:style w:type="character" w:customStyle="1" w:styleId="93">
    <w:name w:val="font31"/>
    <w:basedOn w:val="33"/>
    <w:autoRedefine/>
    <w:qFormat/>
    <w:uiPriority w:val="0"/>
    <w:rPr>
      <w:rFonts w:hint="default" w:ascii="报宋" w:hAnsi="报宋" w:eastAsia="报宋" w:cs="报宋"/>
      <w:color w:val="0A0A0A"/>
      <w:sz w:val="22"/>
      <w:szCs w:val="22"/>
      <w:u w:val="none"/>
    </w:rPr>
  </w:style>
  <w:style w:type="character" w:customStyle="1" w:styleId="94">
    <w:name w:val="font21"/>
    <w:basedOn w:val="33"/>
    <w:autoRedefine/>
    <w:qFormat/>
    <w:uiPriority w:val="0"/>
    <w:rPr>
      <w:rFonts w:hint="eastAsia" w:ascii="宋体" w:hAnsi="宋体" w:eastAsia="宋体" w:cs="宋体"/>
      <w:b/>
      <w:bCs/>
      <w:color w:val="000000"/>
      <w:sz w:val="22"/>
      <w:szCs w:val="22"/>
      <w:u w:val="none"/>
    </w:rPr>
  </w:style>
  <w:style w:type="paragraph" w:customStyle="1" w:styleId="95">
    <w:name w:val="首行缩进"/>
    <w:basedOn w:val="1"/>
    <w:qFormat/>
    <w:uiPriority w:val="0"/>
    <w:pPr>
      <w:ind w:firstLine="480" w:firstLineChars="200"/>
    </w:pPr>
    <w:rPr>
      <w:lang w:val="zh-CN"/>
    </w:rPr>
  </w:style>
  <w:style w:type="paragraph" w:customStyle="1" w:styleId="96">
    <w:name w:val="WPSOffice手动目录 1"/>
    <w:qFormat/>
    <w:uiPriority w:val="0"/>
    <w:rPr>
      <w:rFonts w:ascii="Times New Roman" w:hAnsi="Times New Roman" w:eastAsia="宋体" w:cs="Times New Roman"/>
      <w:lang w:val="en-US" w:eastAsia="zh-CN" w:bidi="ar-SA"/>
    </w:rPr>
  </w:style>
  <w:style w:type="paragraph" w:customStyle="1" w:styleId="9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99">
    <w:name w:val="Revision"/>
    <w:hidden/>
    <w:unhideWhenUsed/>
    <w:qFormat/>
    <w:uiPriority w:val="99"/>
    <w:rPr>
      <w:rFonts w:ascii="Times New Roman" w:hAnsi="Times New Roman" w:eastAsia="宋体" w:cs="Times New Roman"/>
      <w:kern w:val="2"/>
      <w:sz w:val="21"/>
      <w:lang w:val="en-US" w:eastAsia="zh-CN" w:bidi="ar-SA"/>
    </w:rPr>
  </w:style>
  <w:style w:type="paragraph" w:styleId="10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www.deepinghost.com</Company>
  <Pages>40</Pages>
  <Words>10977</Words>
  <Characters>11762</Characters>
  <Lines>85</Lines>
  <Paragraphs>24</Paragraphs>
  <TotalTime>17</TotalTime>
  <ScaleCrop>false</ScaleCrop>
  <LinksUpToDate>false</LinksUpToDate>
  <CharactersWithSpaces>12484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2020-05-15T17:16:00Z</dcterms:created>
  <dc:creator>User</dc:creator>
  <cp:lastModifiedBy>李效杰</cp:lastModifiedBy>
  <cp:lastPrinted>2025-11-10T11:05:21Z</cp:lastPrinted>
  <dcterms:modified xsi:type="dcterms:W3CDTF">2025-11-10T11:15:01Z</dcterms:modified>
  <dc:title>福建省高速公路养护工程材料采购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E0B13748752A5C646454116914EA674E_43</vt:lpwstr>
  </property>
  <property fmtid="{D5CDD505-2E9C-101B-9397-08002B2CF9AE}" pid="4" name="KSOTemplateDocerSaveRecord">
    <vt:lpwstr>eyJoZGlkIjoiYTYwYTlkODA1Y2E3MzE0YzQxNjUzZDVhZTQzZjlmZmYiLCJ1c2VySWQiOiI5ODY4NzAyMzAifQ==</vt:lpwstr>
  </property>
</Properties>
</file>