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jc w:val="center"/>
        <w:rPr>
          <w:rFonts w:hint="eastAsia" w:ascii="仿宋_GB2312" w:hAnsi="仿宋_GB2312" w:eastAsia="仿宋_GB2312" w:cs="仿宋_GB2312"/>
          <w:b/>
          <w:bCs/>
          <w:sz w:val="44"/>
          <w:szCs w:val="44"/>
          <w:highlight w:val="none"/>
          <w:lang w:eastAsia="zh-CN"/>
        </w:rPr>
      </w:pPr>
      <w:r>
        <w:rPr>
          <w:rFonts w:hint="eastAsia" w:ascii="仿宋_GB2312" w:hAnsi="仿宋_GB2312" w:eastAsia="仿宋_GB2312" w:cs="仿宋_GB2312"/>
          <w:b/>
          <w:bCs/>
          <w:sz w:val="44"/>
          <w:szCs w:val="44"/>
          <w:highlight w:val="none"/>
          <w:lang w:eastAsia="zh-CN"/>
        </w:rPr>
        <w:t>福路通资源循环（福建）集团有限公司</w:t>
      </w:r>
    </w:p>
    <w:p>
      <w:pPr>
        <w:jc w:val="center"/>
        <w:rPr>
          <w:rFonts w:hint="eastAsia" w:ascii="仿宋_GB2312" w:hAnsi="仿宋_GB2312" w:eastAsia="仿宋_GB2312" w:cs="仿宋_GB2312"/>
          <w:b/>
          <w:bCs/>
          <w:sz w:val="44"/>
          <w:szCs w:val="44"/>
          <w:highlight w:val="none"/>
        </w:rPr>
      </w:pPr>
      <w:bookmarkStart w:id="0" w:name="_Toc22591"/>
      <w:bookmarkStart w:id="1" w:name="_Toc3601"/>
      <w:bookmarkStart w:id="2" w:name="_Toc24385"/>
      <w:bookmarkStart w:id="3" w:name="_Toc20933"/>
    </w:p>
    <w:p>
      <w:pPr>
        <w:jc w:val="center"/>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宁德地区旋转桶式活动护栏原材料</w:t>
      </w:r>
    </w:p>
    <w:p>
      <w:pPr>
        <w:jc w:val="center"/>
        <w:rPr>
          <w:rFonts w:hint="eastAsia"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highlight w:val="none"/>
        </w:rPr>
        <w:t>询价采购文件</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6"/>
          <w:szCs w:val="36"/>
          <w:highlight w:val="none"/>
          <w:lang w:eastAsia="zh-CN"/>
        </w:rPr>
      </w:pPr>
      <w:r>
        <w:rPr>
          <w:rFonts w:hint="eastAsia" w:ascii="仿宋_GB2312" w:eastAsia="仿宋_GB2312"/>
          <w:sz w:val="36"/>
          <w:szCs w:val="36"/>
          <w:highlight w:val="none"/>
        </w:rPr>
        <w:t>询价采购人：</w:t>
      </w:r>
      <w:r>
        <w:rPr>
          <w:rFonts w:hint="eastAsia" w:ascii="仿宋_GB2312" w:eastAsia="仿宋_GB2312"/>
          <w:sz w:val="36"/>
          <w:szCs w:val="36"/>
          <w:highlight w:val="none"/>
          <w:lang w:eastAsia="zh-CN"/>
        </w:rPr>
        <w:t>福路通资源循环（福建）集团有限公司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6"/>
          <w:szCs w:val="36"/>
          <w:highlight w:val="none"/>
        </w:rPr>
      </w:pPr>
      <w:r>
        <w:rPr>
          <w:rFonts w:hint="eastAsia" w:ascii="仿宋_GB2312" w:eastAsia="仿宋_GB2312"/>
          <w:sz w:val="36"/>
          <w:szCs w:val="36"/>
          <w:highlight w:val="none"/>
        </w:rPr>
        <w:t>日  期：2025年</w:t>
      </w:r>
      <w:r>
        <w:rPr>
          <w:rFonts w:hint="eastAsia" w:ascii="仿宋_GB2312" w:eastAsia="仿宋_GB2312"/>
          <w:sz w:val="36"/>
          <w:szCs w:val="36"/>
          <w:highlight w:val="none"/>
          <w:lang w:val="en-US" w:eastAsia="zh-CN"/>
        </w:rPr>
        <w:t>11</w:t>
      </w:r>
      <w:r>
        <w:rPr>
          <w:rFonts w:hint="eastAsia" w:ascii="仿宋_GB2312" w:eastAsia="仿宋_GB2312"/>
          <w:sz w:val="36"/>
          <w:szCs w:val="36"/>
          <w:highlight w:val="none"/>
        </w:rPr>
        <w:t>月</w:t>
      </w:r>
      <w:r>
        <w:rPr>
          <w:rFonts w:hint="eastAsia" w:ascii="仿宋_GB2312" w:eastAsia="仿宋_GB2312"/>
          <w:sz w:val="36"/>
          <w:szCs w:val="36"/>
          <w:highlight w:val="none"/>
          <w:lang w:val="en-US" w:eastAsia="zh-CN"/>
        </w:rPr>
        <w:t>26</w:t>
      </w:r>
      <w:r>
        <w:rPr>
          <w:rFonts w:hint="eastAsia" w:ascii="仿宋_GB2312" w:eastAsia="仿宋_GB2312"/>
          <w:sz w:val="36"/>
          <w:szCs w:val="36"/>
          <w:highlight w:val="none"/>
        </w:rPr>
        <w:t>日</w:t>
      </w:r>
    </w:p>
    <w:p>
      <w:pPr>
        <w:spacing w:line="560" w:lineRule="exact"/>
        <w:rPr>
          <w:rFonts w:ascii="仿宋_GB2312" w:eastAsia="仿宋_GB2312"/>
          <w:b/>
          <w:sz w:val="32"/>
          <w:szCs w:val="32"/>
          <w:highlight w:val="none"/>
        </w:rPr>
      </w:pPr>
    </w:p>
    <w:p>
      <w:pPr>
        <w:rPr>
          <w:highlight w:val="none"/>
        </w:r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9"/>
        <w:rPr>
          <w:highlight w:val="none"/>
        </w:rPr>
      </w:pPr>
      <w:bookmarkStart w:id="4" w:name="_Toc15082"/>
      <w:bookmarkStart w:id="5" w:name="_Toc10711"/>
      <w:bookmarkStart w:id="6" w:name="_Toc17350"/>
      <w:bookmarkStart w:id="7" w:name="_Toc9421"/>
      <w:r>
        <w:rPr>
          <w:rFonts w:hint="eastAsia" w:ascii="黑体" w:hAnsi="黑体" w:eastAsia="黑体" w:cs="黑体"/>
          <w:sz w:val="44"/>
          <w:szCs w:val="44"/>
          <w:highlight w:val="none"/>
        </w:rPr>
        <w:t>目  录</w:t>
      </w:r>
      <w:bookmarkEnd w:id="4"/>
      <w:bookmarkEnd w:id="5"/>
      <w:bookmarkEnd w:id="6"/>
    </w:p>
    <w:bookmarkEnd w:id="7"/>
    <w:sdt>
      <w:sdtPr>
        <w:rPr>
          <w:rFonts w:ascii="宋体" w:hAnsi="宋体" w:eastAsia="宋体" w:cs="Times New Roman"/>
          <w:kern w:val="2"/>
          <w:sz w:val="21"/>
          <w:highlight w:val="none"/>
          <w:lang w:val="en-US" w:eastAsia="zh-CN" w:bidi="ar-SA"/>
        </w:rPr>
        <w:id w:val="147455381"/>
        <w15:color w:val="DBDBDB"/>
        <w:docPartObj>
          <w:docPartGallery w:val="Table of Contents"/>
          <w:docPartUnique/>
        </w:docPartObj>
      </w:sdtPr>
      <w:sdtEndPr>
        <w:rPr>
          <w:rFonts w:hint="eastAsia" w:ascii="仿宋_GB2312" w:hAnsi="仿宋_GB2312" w:eastAsia="仿宋_GB2312" w:cs="仿宋_GB2312"/>
          <w:kern w:val="2"/>
          <w:sz w:val="24"/>
          <w:szCs w:val="32"/>
          <w:highlight w:val="none"/>
          <w:lang w:val="en-US" w:eastAsia="zh-CN" w:bidi="ar-SA"/>
        </w:rPr>
      </w:sdtEndPr>
      <w:sdtContent>
        <w:p>
          <w:pPr>
            <w:keepNext w:val="0"/>
            <w:keepLines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highlight w:val="none"/>
            </w:rPr>
          </w:pP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"1-1"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_Toc23473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第一篇  询价采购公告</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t xml:space="preserve">- </w:t>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_Toc23473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3</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t xml:space="preserve"> -</w:t>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_Toc20226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第二篇  项目采购规格、最高限价及质量要求</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t xml:space="preserve">- </w:t>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_Toc20226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7</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t xml:space="preserve"> -</w:t>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_Toc12890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第三篇  供应商须知</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_Toc12890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- 11 -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_Toc22954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第四篇  响应文件要求</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_Toc22954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- 14 -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_Toc30156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第五篇  评审办法</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_Toc30156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- 17 -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_Toc3466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第六篇  合同主要条款、合同格式</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_Toc3466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- 21 -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_Toc12462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第七篇  响应文件格式</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_Toc12462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- 29 -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_Toc32112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rPr>
            <w:t>一、报 价 函</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_Toc32112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- 33 -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_Toc28569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lang w:val="en-US" w:eastAsia="zh-CN" w:bidi="ar-SA"/>
            </w:rPr>
            <w:t>二、</w:t>
          </w:r>
          <w:r>
            <w:rPr>
              <w:rFonts w:hint="eastAsia" w:ascii="仿宋_GB2312" w:hAnsi="仿宋_GB2312" w:eastAsia="仿宋_GB2312" w:cs="仿宋_GB2312"/>
              <w:b w:val="0"/>
              <w:bCs/>
              <w:kern w:val="44"/>
              <w:sz w:val="32"/>
              <w:szCs w:val="32"/>
              <w:highlight w:val="none"/>
            </w:rPr>
            <w:t>报 价 表</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_Toc28569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- 34 -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_Toc23747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rPr>
            <w:t>三、供应商法定代表人身份证明书</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_Toc23747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- 35 -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_Toc9094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rPr>
            <w:t>四、供应商法定代表人授权委托书</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_Toc9094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- 37 -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_Toc22759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rPr>
            <w:t>五、资质文件</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_Toc22759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- 39 -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_Toc15993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lang w:val="en-US" w:eastAsia="zh-CN"/>
            </w:rPr>
            <w:t>六</w:t>
          </w:r>
          <w:r>
            <w:rPr>
              <w:rFonts w:hint="eastAsia" w:ascii="仿宋_GB2312" w:hAnsi="仿宋_GB2312" w:eastAsia="仿宋_GB2312" w:cs="仿宋_GB2312"/>
              <w:b w:val="0"/>
              <w:bCs/>
              <w:kern w:val="44"/>
              <w:sz w:val="32"/>
              <w:szCs w:val="32"/>
              <w:highlight w:val="none"/>
            </w:rPr>
            <w:t>、其他文件</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_Toc15993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- 40 -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1"/>
            <w:keepNext w:val="0"/>
            <w:keepLines w:val="0"/>
            <w:widowControl w:val="0"/>
            <w:tabs>
              <w:tab w:val="right" w:leader="middleDot" w:pos="8902"/>
              <w:tab w:val="clear" w:pos="8505"/>
            </w:tabs>
            <w:kinsoku/>
            <w:wordWrap/>
            <w:overflowPunct/>
            <w:topLinePunct w:val="0"/>
            <w:autoSpaceDE/>
            <w:autoSpaceDN/>
            <w:bidi w:val="0"/>
            <w:adjustRightInd/>
            <w:snapToGrid/>
            <w:spacing w:line="560" w:lineRule="exact"/>
            <w:textAlignment w:val="auto"/>
            <w:rPr>
              <w:highlight w:val="none"/>
            </w:rPr>
          </w:pP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HYPERLINK \l _Toc21651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kern w:val="44"/>
              <w:sz w:val="32"/>
              <w:szCs w:val="32"/>
              <w:highlight w:val="none"/>
              <w:lang w:val="en-US" w:eastAsia="zh-CN"/>
            </w:rPr>
            <w:t>七</w:t>
          </w:r>
          <w:r>
            <w:rPr>
              <w:rFonts w:hint="eastAsia" w:ascii="仿宋_GB2312" w:hAnsi="仿宋_GB2312" w:eastAsia="仿宋_GB2312" w:cs="仿宋_GB2312"/>
              <w:b w:val="0"/>
              <w:bCs/>
              <w:kern w:val="44"/>
              <w:sz w:val="32"/>
              <w:szCs w:val="32"/>
              <w:highlight w:val="none"/>
            </w:rPr>
            <w:t>、供应商廉政保证书</w:t>
          </w:r>
          <w:r>
            <w:rPr>
              <w:rFonts w:hint="eastAsia" w:ascii="仿宋_GB2312" w:hAnsi="仿宋_GB2312" w:eastAsia="仿宋_GB2312" w:cs="仿宋_GB2312"/>
              <w:b w:val="0"/>
              <w:bCs/>
              <w:sz w:val="32"/>
              <w:szCs w:val="32"/>
              <w:highlight w:val="none"/>
            </w:rPr>
            <w:tab/>
          </w:r>
          <w:r>
            <w:rPr>
              <w:rFonts w:hint="eastAsia" w:ascii="仿宋_GB2312" w:hAnsi="仿宋_GB2312" w:eastAsia="仿宋_GB2312" w:cs="仿宋_GB2312"/>
              <w:b w:val="0"/>
              <w:bCs/>
              <w:sz w:val="32"/>
              <w:szCs w:val="32"/>
              <w:highlight w:val="none"/>
            </w:rPr>
            <w:fldChar w:fldCharType="begin"/>
          </w:r>
          <w:r>
            <w:rPr>
              <w:rFonts w:hint="eastAsia" w:ascii="仿宋_GB2312" w:hAnsi="仿宋_GB2312" w:eastAsia="仿宋_GB2312" w:cs="仿宋_GB2312"/>
              <w:b w:val="0"/>
              <w:bCs/>
              <w:sz w:val="32"/>
              <w:szCs w:val="32"/>
              <w:highlight w:val="none"/>
            </w:rPr>
            <w:instrText xml:space="preserve"> PAGEREF _Toc21651 \h </w:instrText>
          </w:r>
          <w:r>
            <w:rPr>
              <w:rFonts w:hint="eastAsia" w:ascii="仿宋_GB2312" w:hAnsi="仿宋_GB2312" w:eastAsia="仿宋_GB2312" w:cs="仿宋_GB2312"/>
              <w:b w:val="0"/>
              <w:bCs/>
              <w:sz w:val="32"/>
              <w:szCs w:val="32"/>
              <w:highlight w:val="none"/>
            </w:rPr>
            <w:fldChar w:fldCharType="separate"/>
          </w:r>
          <w:r>
            <w:rPr>
              <w:rFonts w:hint="eastAsia" w:ascii="仿宋_GB2312" w:hAnsi="仿宋_GB2312" w:eastAsia="仿宋_GB2312" w:cs="仿宋_GB2312"/>
              <w:b w:val="0"/>
              <w:bCs/>
              <w:sz w:val="32"/>
              <w:szCs w:val="32"/>
              <w:highlight w:val="none"/>
            </w:rPr>
            <w:t>- 41 -</w:t>
          </w:r>
          <w:r>
            <w:rPr>
              <w:rFonts w:hint="eastAsia" w:ascii="仿宋_GB2312" w:hAnsi="仿宋_GB2312" w:eastAsia="仿宋_GB2312" w:cs="仿宋_GB2312"/>
              <w:b w:val="0"/>
              <w:bCs/>
              <w:sz w:val="32"/>
              <w:szCs w:val="32"/>
              <w:highlight w:val="none"/>
            </w:rPr>
            <w:fldChar w:fldCharType="end"/>
          </w:r>
          <w:r>
            <w:rPr>
              <w:rFonts w:hint="eastAsia" w:ascii="仿宋_GB2312" w:hAnsi="仿宋_GB2312" w:eastAsia="仿宋_GB2312" w:cs="仿宋_GB2312"/>
              <w:b w:val="0"/>
              <w:bCs/>
              <w:sz w:val="32"/>
              <w:szCs w:val="32"/>
              <w:highlight w:val="none"/>
            </w:rPr>
            <w:fldChar w:fldCharType="end"/>
          </w:r>
        </w:p>
        <w:p>
          <w:pPr>
            <w:pStyle w:val="2"/>
            <w:keepNext w:val="0"/>
            <w:keepLines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4"/>
              <w:szCs w:val="32"/>
              <w:highlight w:val="none"/>
              <w:lang w:val="en-US" w:eastAsia="zh-CN" w:bidi="ar-SA"/>
            </w:rPr>
          </w:pPr>
          <w:r>
            <w:rPr>
              <w:rFonts w:hint="eastAsia" w:ascii="仿宋_GB2312" w:hAnsi="仿宋_GB2312" w:eastAsia="仿宋_GB2312" w:cs="仿宋_GB2312"/>
              <w:szCs w:val="32"/>
              <w:highlight w:val="none"/>
            </w:rPr>
            <w:fldChar w:fldCharType="end"/>
          </w:r>
        </w:p>
      </w:sdtContent>
    </w:sdt>
    <w:p>
      <w:pPr>
        <w:pStyle w:val="2"/>
        <w:keepNext w:val="0"/>
        <w:keepLines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4"/>
          <w:szCs w:val="32"/>
          <w:highlight w:val="none"/>
          <w:lang w:val="en-US" w:eastAsia="zh-CN" w:bidi="ar-SA"/>
        </w:rPr>
      </w:pPr>
    </w:p>
    <w:p>
      <w:pPr>
        <w:pageBreakBefore/>
        <w:spacing w:line="560" w:lineRule="exact"/>
        <w:jc w:val="center"/>
        <w:outlineLvl w:val="0"/>
        <w:rPr>
          <w:rFonts w:hint="eastAsia" w:ascii="黑体" w:hAnsi="黑体" w:eastAsia="黑体" w:cs="黑体"/>
          <w:sz w:val="44"/>
          <w:szCs w:val="44"/>
          <w:highlight w:val="none"/>
        </w:rPr>
      </w:pPr>
      <w:bookmarkStart w:id="8" w:name="_Toc31528"/>
      <w:bookmarkStart w:id="9" w:name="_Toc32144"/>
      <w:bookmarkStart w:id="10" w:name="_Toc23473"/>
      <w:bookmarkStart w:id="11" w:name="_Toc24334"/>
      <w:r>
        <w:rPr>
          <w:rFonts w:hint="eastAsia" w:ascii="黑体" w:hAnsi="黑体" w:eastAsia="黑体" w:cs="黑体"/>
          <w:sz w:val="44"/>
          <w:szCs w:val="44"/>
          <w:highlight w:val="none"/>
        </w:rPr>
        <w:t>第一篇  询价采购公告</w:t>
      </w:r>
      <w:bookmarkEnd w:id="8"/>
      <w:bookmarkEnd w:id="9"/>
      <w:bookmarkEnd w:id="10"/>
      <w:bookmarkEnd w:id="11"/>
    </w:p>
    <w:p>
      <w:pPr>
        <w:spacing w:line="560" w:lineRule="exact"/>
        <w:ind w:firstLine="640" w:firstLineChars="200"/>
        <w:rPr>
          <w:rFonts w:hint="eastAsia" w:ascii="仿宋_GB2312" w:hAnsi="仿宋_GB2312" w:eastAsia="仿宋_GB2312" w:cs="仿宋_GB2312"/>
          <w:sz w:val="32"/>
          <w:szCs w:val="32"/>
          <w:highlight w:val="none"/>
        </w:rPr>
      </w:pP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宁德地区旋转桶式活动护栏原材料（不含滚筒）</w:t>
      </w:r>
      <w:r>
        <w:rPr>
          <w:rFonts w:hint="eastAsia" w:ascii="仿宋_GB2312" w:hAnsi="仿宋_GB2312" w:eastAsia="仿宋_GB2312" w:cs="仿宋_GB2312"/>
          <w:sz w:val="32"/>
          <w:szCs w:val="32"/>
          <w:highlight w:val="none"/>
        </w:rPr>
        <w:t>进行询价采购，现欢迎中国境内具备资质能力的合格供应商参与本项目询价活动。</w:t>
      </w:r>
    </w:p>
    <w:p>
      <w:pPr>
        <w:spacing w:line="560" w:lineRule="exact"/>
        <w:ind w:firstLine="640" w:firstLineChars="200"/>
        <w:outlineLvl w:val="0"/>
        <w:rPr>
          <w:rFonts w:ascii="仿宋_GB2312" w:hAnsi="仿宋_GB2312" w:eastAsia="仿宋_GB2312" w:cs="仿宋_GB2312"/>
          <w:b/>
          <w:sz w:val="32"/>
          <w:szCs w:val="32"/>
          <w:highlight w:val="none"/>
        </w:rPr>
      </w:pPr>
      <w:bookmarkStart w:id="12" w:name="_Toc11987"/>
      <w:bookmarkStart w:id="13" w:name="_Toc8192"/>
      <w:bookmarkStart w:id="14" w:name="_Toc23117"/>
      <w:bookmarkStart w:id="15" w:name="_Toc359"/>
      <w:bookmarkStart w:id="16" w:name="_Toc7329"/>
      <w:bookmarkStart w:id="17" w:name="_Toc409439663"/>
      <w:bookmarkStart w:id="18" w:name="_Toc257911916"/>
      <w:bookmarkStart w:id="19" w:name="_Toc508286650"/>
      <w:r>
        <w:rPr>
          <w:rFonts w:hint="eastAsia" w:ascii="仿宋_GB2312" w:hAnsi="仿宋_GB2312" w:eastAsia="仿宋_GB2312" w:cs="仿宋_GB2312"/>
          <w:b/>
          <w:sz w:val="32"/>
          <w:szCs w:val="32"/>
          <w:highlight w:val="none"/>
        </w:rPr>
        <w:t>一、项目基本情况</w:t>
      </w:r>
      <w:bookmarkEnd w:id="12"/>
      <w:bookmarkEnd w:id="13"/>
      <w:bookmarkEnd w:id="14"/>
      <w:bookmarkEnd w:id="15"/>
      <w:bookmarkEnd w:id="16"/>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项目名称：宁德地区</w:t>
      </w:r>
      <w:r>
        <w:rPr>
          <w:rFonts w:hint="eastAsia" w:ascii="仿宋_GB2312" w:hAnsi="仿宋_GB2312" w:eastAsia="仿宋_GB2312" w:cs="仿宋_GB2312"/>
          <w:sz w:val="32"/>
          <w:szCs w:val="32"/>
          <w:highlight w:val="none"/>
          <w:lang w:eastAsia="zh-CN"/>
        </w:rPr>
        <w:t>旋转桶式活动护栏</w:t>
      </w:r>
      <w:r>
        <w:rPr>
          <w:rFonts w:hint="eastAsia" w:ascii="仿宋_GB2312" w:hAnsi="仿宋_GB2312" w:eastAsia="仿宋_GB2312" w:cs="仿宋_GB2312"/>
          <w:sz w:val="32"/>
          <w:szCs w:val="32"/>
          <w:highlight w:val="none"/>
        </w:rPr>
        <w:t>原材料</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采购方式：公开询价采购</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采购需求：</w:t>
      </w:r>
      <w:r>
        <w:rPr>
          <w:rFonts w:hint="eastAsia" w:ascii="仿宋_GB2312" w:hAnsi="仿宋_GB2312" w:eastAsia="仿宋_GB2312" w:cs="仿宋_GB2312"/>
          <w:sz w:val="32"/>
          <w:szCs w:val="32"/>
          <w:highlight w:val="none"/>
          <w:lang w:val="en-US" w:eastAsia="zh-CN"/>
        </w:rPr>
        <w:t>原材料采购</w:t>
      </w:r>
      <w:r>
        <w:rPr>
          <w:rFonts w:hint="eastAsia" w:ascii="仿宋_GB2312" w:hAnsi="仿宋_GB2312" w:eastAsia="仿宋_GB2312" w:cs="仿宋_GB2312"/>
          <w:sz w:val="32"/>
          <w:szCs w:val="32"/>
          <w:highlight w:val="none"/>
        </w:rPr>
        <w:t>，具体要求详见采购文件第二篇。</w:t>
      </w:r>
    </w:p>
    <w:p>
      <w:pPr>
        <w:spacing w:line="560" w:lineRule="exact"/>
        <w:ind w:firstLine="640" w:firstLineChars="200"/>
        <w:rPr>
          <w:rFonts w:hint="default"/>
          <w:highlight w:val="none"/>
          <w:lang w:val="en-US"/>
        </w:rPr>
      </w:pPr>
      <w:r>
        <w:rPr>
          <w:rFonts w:hint="eastAsia" w:ascii="仿宋_GB2312" w:hAnsi="仿宋_GB2312" w:eastAsia="仿宋_GB2312" w:cs="仿宋_GB2312"/>
          <w:sz w:val="32"/>
          <w:szCs w:val="32"/>
          <w:highlight w:val="none"/>
        </w:rPr>
        <w:t>项目含税最高</w:t>
      </w:r>
      <w:r>
        <w:rPr>
          <w:rFonts w:hint="eastAsia" w:ascii="仿宋_GB2312" w:hAnsi="仿宋_GB2312" w:eastAsia="仿宋_GB2312" w:cs="仿宋_GB2312"/>
          <w:sz w:val="32"/>
          <w:szCs w:val="32"/>
          <w:highlight w:val="none"/>
          <w:lang w:val="en-US" w:eastAsia="zh-CN"/>
        </w:rPr>
        <w:t>限制单</w:t>
      </w:r>
      <w:r>
        <w:rPr>
          <w:rFonts w:hint="eastAsia" w:ascii="仿宋_GB2312" w:hAnsi="仿宋_GB2312" w:eastAsia="仿宋_GB2312" w:cs="仿宋_GB2312"/>
          <w:sz w:val="32"/>
          <w:szCs w:val="32"/>
          <w:highlight w:val="none"/>
        </w:rPr>
        <w:t>价：</w:t>
      </w:r>
      <w:r>
        <w:rPr>
          <w:rFonts w:hint="eastAsia" w:ascii="仿宋_GB2312" w:hAnsi="仿宋_GB2312" w:eastAsia="仿宋_GB2312" w:cs="仿宋_GB2312"/>
          <w:sz w:val="32"/>
          <w:szCs w:val="32"/>
          <w:highlight w:val="none"/>
          <w:lang w:val="en-US" w:eastAsia="zh-CN"/>
        </w:rPr>
        <w:t>780</w:t>
      </w:r>
      <w:r>
        <w:rPr>
          <w:rFonts w:hint="eastAsia" w:ascii="仿宋_GB2312" w:hAnsi="仿宋_GB2312" w:eastAsia="仿宋_GB2312" w:cs="仿宋_GB2312"/>
          <w:sz w:val="32"/>
          <w:szCs w:val="32"/>
          <w:highlight w:val="none"/>
          <w:lang w:bidi="ar"/>
        </w:rPr>
        <w:t>元</w:t>
      </w:r>
      <w:r>
        <w:rPr>
          <w:rFonts w:hint="eastAsia" w:ascii="仿宋_GB2312" w:hAnsi="仿宋_GB2312" w:eastAsia="仿宋_GB2312" w:cs="仿宋_GB2312"/>
          <w:sz w:val="32"/>
          <w:szCs w:val="32"/>
          <w:highlight w:val="none"/>
          <w:lang w:val="en-US" w:eastAsia="zh-CN" w:bidi="ar"/>
        </w:rPr>
        <w:t>/米，暂估数量2500米，最高限制总价：1950000元</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本项目设置响应最高限价，供应商响应报价不得超出最高限价。</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合同履行期限：自合同签订之日起一年内</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供货地点：</w:t>
      </w:r>
      <w:r>
        <w:rPr>
          <w:rFonts w:hint="eastAsia" w:ascii="仿宋_GB2312" w:hAnsi="仿宋_GB2312" w:eastAsia="仿宋_GB2312" w:cs="仿宋_GB2312"/>
          <w:bCs/>
          <w:sz w:val="32"/>
          <w:szCs w:val="32"/>
          <w:highlight w:val="none"/>
        </w:rPr>
        <w:t>福建省内采购人指定地点</w:t>
      </w:r>
    </w:p>
    <w:p>
      <w:pPr>
        <w:spacing w:line="560" w:lineRule="exact"/>
        <w:ind w:firstLine="640" w:firstLineChars="200"/>
        <w:outlineLvl w:val="0"/>
        <w:rPr>
          <w:rFonts w:ascii="仿宋_GB2312" w:hAnsi="仿宋_GB2312" w:eastAsia="仿宋_GB2312" w:cs="仿宋_GB2312"/>
          <w:b/>
          <w:sz w:val="32"/>
          <w:szCs w:val="32"/>
          <w:highlight w:val="none"/>
        </w:rPr>
      </w:pPr>
      <w:bookmarkStart w:id="20" w:name="_Toc12322"/>
      <w:bookmarkStart w:id="21" w:name="_Toc9620"/>
      <w:bookmarkStart w:id="22" w:name="_Toc5762"/>
      <w:bookmarkStart w:id="23" w:name="_Toc26096"/>
      <w:bookmarkStart w:id="24" w:name="_Toc27157"/>
      <w:r>
        <w:rPr>
          <w:rFonts w:hint="eastAsia" w:ascii="仿宋_GB2312" w:hAnsi="仿宋_GB2312" w:eastAsia="仿宋_GB2312" w:cs="仿宋_GB2312"/>
          <w:b/>
          <w:sz w:val="32"/>
          <w:szCs w:val="32"/>
          <w:highlight w:val="none"/>
        </w:rPr>
        <w:t>二、供应商资格条件</w:t>
      </w:r>
      <w:bookmarkEnd w:id="20"/>
      <w:bookmarkEnd w:id="21"/>
      <w:bookmarkEnd w:id="22"/>
      <w:bookmarkEnd w:id="23"/>
      <w:bookmarkEnd w:id="24"/>
    </w:p>
    <w:p>
      <w:pPr>
        <w:wordWrap w:val="0"/>
        <w:spacing w:line="560" w:lineRule="exact"/>
        <w:ind w:firstLine="640" w:firstLineChars="200"/>
        <w:rPr>
          <w:rFonts w:ascii="仿宋_GB2312" w:hAnsi="仿宋_GB2312" w:eastAsia="仿宋_GB2312" w:cs="仿宋_GB2312"/>
          <w:sz w:val="32"/>
          <w:szCs w:val="32"/>
          <w:highlight w:val="none"/>
        </w:rPr>
      </w:pPr>
      <w:bookmarkStart w:id="25" w:name="_Toc19788"/>
      <w:bookmarkStart w:id="26" w:name="_Toc21706"/>
      <w:bookmarkStart w:id="27" w:name="OLE_LINK2"/>
      <w:r>
        <w:rPr>
          <w:rFonts w:hint="eastAsia" w:ascii="仿宋_GB2312" w:hAnsi="仿宋_GB2312" w:eastAsia="仿宋_GB2312" w:cs="仿宋_GB2312"/>
          <w:sz w:val="32"/>
          <w:szCs w:val="32"/>
          <w:highlight w:val="none"/>
        </w:rPr>
        <w:t>（一）在中华人民共和国境内注册且合法存续的企业法人。</w:t>
      </w:r>
      <w:bookmarkEnd w:id="25"/>
      <w:bookmarkEnd w:id="26"/>
    </w:p>
    <w:p>
      <w:pPr>
        <w:wordWrap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p>
    <w:p>
      <w:pPr>
        <w:wordWrap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）企业、法定代表人未被列入失信被执行人名单（应提供企业、企业法定代表人在中国执行信息公开网http://zxgk.court.gov.cn中“综合查询被执行人-全国法院”查询的信息（网页截图））。</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）符合国家法律、行政法规规定的其他条件。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）本项目不接受联合体竞租，不得转租、转让。</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）法定代表人为同一个人的两个及两个以上法人，母公司、全资子公司及其控股公司，存在资产关联关系的单位，不得在本次招商活动中同时提交竞价申请。</w:t>
      </w:r>
    </w:p>
    <w:bookmarkEnd w:id="27"/>
    <w:p>
      <w:pPr>
        <w:spacing w:line="560" w:lineRule="exact"/>
        <w:ind w:firstLine="640" w:firstLineChars="200"/>
        <w:outlineLvl w:val="0"/>
        <w:rPr>
          <w:rFonts w:ascii="仿宋_GB2312" w:hAnsi="仿宋_GB2312" w:eastAsia="仿宋_GB2312" w:cs="仿宋_GB2312"/>
          <w:b/>
          <w:sz w:val="32"/>
          <w:szCs w:val="32"/>
          <w:highlight w:val="none"/>
        </w:rPr>
      </w:pPr>
      <w:bookmarkStart w:id="28" w:name="_Toc24219"/>
      <w:bookmarkStart w:id="29" w:name="_Toc13870"/>
      <w:bookmarkStart w:id="30" w:name="_Toc23288"/>
      <w:bookmarkStart w:id="31" w:name="_Toc1301"/>
      <w:bookmarkStart w:id="32" w:name="_Toc8793"/>
      <w:r>
        <w:rPr>
          <w:rFonts w:hint="eastAsia" w:ascii="仿宋_GB2312" w:hAnsi="仿宋_GB2312" w:eastAsia="仿宋_GB2312" w:cs="仿宋_GB2312"/>
          <w:b/>
          <w:sz w:val="32"/>
          <w:szCs w:val="32"/>
          <w:highlight w:val="none"/>
        </w:rPr>
        <w:t>三、采购文件获取方式</w:t>
      </w:r>
      <w:bookmarkEnd w:id="28"/>
      <w:bookmarkEnd w:id="29"/>
      <w:bookmarkEnd w:id="30"/>
      <w:bookmarkEnd w:id="31"/>
      <w:bookmarkEnd w:id="32"/>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凡有意参加本项目的供应商采用以下两种方式获取采购文件：</w:t>
      </w:r>
    </w:p>
    <w:p>
      <w:pPr>
        <w:wordWrap w:val="0"/>
        <w:spacing w:line="560" w:lineRule="exact"/>
        <w:ind w:firstLine="640" w:firstLineChars="200"/>
        <w:rPr>
          <w:rStyle w:val="37"/>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sz w:val="32"/>
          <w:szCs w:val="32"/>
          <w:highlight w:val="none"/>
        </w:rPr>
        <w:t>（一）意向参与本项目的供应商自行在本项目响应文件递交截止时间前访问福建省高速公路集团有限公司官网（</w:t>
      </w:r>
      <w:r>
        <w:rPr>
          <w:rStyle w:val="37"/>
          <w:rFonts w:hint="eastAsia" w:ascii="仿宋_GB2312" w:hAnsi="仿宋_GB2312" w:eastAsia="仿宋_GB2312" w:cs="仿宋_GB2312"/>
          <w:color w:val="auto"/>
          <w:sz w:val="32"/>
          <w:szCs w:val="32"/>
          <w:highlight w:val="none"/>
          <w:u w:val="none"/>
        </w:rPr>
        <w:fldChar w:fldCharType="begin"/>
      </w:r>
      <w:r>
        <w:rPr>
          <w:rStyle w:val="37"/>
          <w:rFonts w:hint="eastAsia" w:ascii="仿宋_GB2312" w:hAnsi="仿宋_GB2312" w:eastAsia="仿宋_GB2312" w:cs="仿宋_GB2312"/>
          <w:color w:val="auto"/>
          <w:sz w:val="32"/>
          <w:szCs w:val="32"/>
          <w:highlight w:val="none"/>
          <w:u w:val="none"/>
        </w:rPr>
        <w:instrText xml:space="preserve"> HYPERLINK "http://www.fjgsgl.com）自行下载,或请于2020年5月" </w:instrText>
      </w:r>
      <w:r>
        <w:rPr>
          <w:rStyle w:val="37"/>
          <w:rFonts w:hint="eastAsia" w:ascii="仿宋_GB2312" w:hAnsi="仿宋_GB2312" w:eastAsia="仿宋_GB2312" w:cs="仿宋_GB2312"/>
          <w:color w:val="auto"/>
          <w:sz w:val="32"/>
          <w:szCs w:val="32"/>
          <w:highlight w:val="none"/>
          <w:u w:val="none"/>
        </w:rPr>
        <w:fldChar w:fldCharType="separate"/>
      </w:r>
      <w:r>
        <w:rPr>
          <w:rStyle w:val="37"/>
          <w:rFonts w:hint="eastAsia" w:ascii="仿宋_GB2312" w:hAnsi="仿宋_GB2312" w:eastAsia="仿宋_GB2312" w:cs="仿宋_GB2312"/>
          <w:color w:val="auto"/>
          <w:sz w:val="32"/>
          <w:szCs w:val="32"/>
          <w:highlight w:val="none"/>
          <w:u w:val="none"/>
        </w:rPr>
        <w:t>www.fjgsgl.com）、</w:t>
      </w:r>
      <w:r>
        <w:rPr>
          <w:rStyle w:val="37"/>
          <w:rFonts w:hint="eastAsia" w:ascii="仿宋_GB2312" w:hAnsi="仿宋_GB2312" w:eastAsia="仿宋_GB2312" w:cs="仿宋_GB2312"/>
          <w:color w:val="auto"/>
          <w:sz w:val="32"/>
          <w:szCs w:val="32"/>
          <w:highlight w:val="none"/>
          <w:u w:val="none"/>
          <w:lang w:val="en-US" w:eastAsia="zh-CN"/>
        </w:rPr>
        <w:t>中国</w:t>
      </w:r>
      <w:r>
        <w:rPr>
          <w:rStyle w:val="37"/>
          <w:rFonts w:hint="eastAsia" w:ascii="仿宋_GB2312" w:hAnsi="仿宋_GB2312" w:eastAsia="仿宋_GB2312" w:cs="仿宋_GB2312"/>
          <w:color w:val="auto"/>
          <w:sz w:val="32"/>
          <w:szCs w:val="32"/>
          <w:highlight w:val="none"/>
          <w:u w:val="none"/>
        </w:rPr>
        <w:t>采购与招标网（http://www.chinabidding.com.cn/)、福建高速集采平台（https://gsjc.fjetc.com/)下载采购文件。</w:t>
      </w:r>
    </w:p>
    <w:p>
      <w:pPr>
        <w:wordWrap w:val="0"/>
        <w:spacing w:line="560" w:lineRule="exact"/>
        <w:ind w:firstLine="640" w:firstLineChars="200"/>
        <w:rPr>
          <w:rFonts w:ascii="仿宋_GB2312" w:hAnsi="仿宋_GB2312" w:eastAsia="仿宋_GB2312" w:cs="仿宋_GB2312"/>
          <w:sz w:val="32"/>
          <w:szCs w:val="32"/>
          <w:highlight w:val="none"/>
        </w:rPr>
      </w:pPr>
      <w:r>
        <w:rPr>
          <w:rStyle w:val="37"/>
          <w:rFonts w:hint="eastAsia" w:ascii="仿宋_GB2312" w:hAnsi="仿宋_GB2312" w:eastAsia="仿宋_GB2312" w:cs="仿宋_GB2312"/>
          <w:color w:val="auto"/>
          <w:sz w:val="32"/>
          <w:szCs w:val="32"/>
          <w:highlight w:val="none"/>
          <w:u w:val="none"/>
        </w:rPr>
        <w:t>（二）意向参与本项目的供应商于2025年</w:t>
      </w:r>
      <w:r>
        <w:rPr>
          <w:rStyle w:val="37"/>
          <w:rFonts w:hint="eastAsia" w:ascii="仿宋_GB2312" w:hAnsi="仿宋_GB2312" w:eastAsia="仿宋_GB2312" w:cs="仿宋_GB2312"/>
          <w:color w:val="auto"/>
          <w:sz w:val="32"/>
          <w:szCs w:val="32"/>
          <w:highlight w:val="none"/>
          <w:u w:val="none"/>
          <w:lang w:val="en-US" w:eastAsia="zh-CN"/>
        </w:rPr>
        <w:t>11</w:t>
      </w:r>
      <w:r>
        <w:rPr>
          <w:rStyle w:val="37"/>
          <w:rFonts w:hint="eastAsia" w:ascii="仿宋_GB2312" w:hAnsi="仿宋_GB2312" w:eastAsia="仿宋_GB2312" w:cs="仿宋_GB2312"/>
          <w:color w:val="auto"/>
          <w:sz w:val="32"/>
          <w:szCs w:val="32"/>
          <w:highlight w:val="none"/>
          <w:u w:val="none"/>
        </w:rPr>
        <w:t>月</w:t>
      </w:r>
      <w:r>
        <w:rPr>
          <w:rStyle w:val="37"/>
          <w:rFonts w:hint="eastAsia" w:ascii="仿宋_GB2312" w:hAnsi="仿宋_GB2312" w:eastAsia="仿宋_GB2312" w:cs="仿宋_GB2312"/>
          <w:color w:val="auto"/>
          <w:sz w:val="32"/>
          <w:szCs w:val="32"/>
          <w:highlight w:val="none"/>
          <w:u w:val="none"/>
        </w:rPr>
        <w:fldChar w:fldCharType="end"/>
      </w:r>
      <w:r>
        <w:rPr>
          <w:rStyle w:val="37"/>
          <w:rFonts w:hint="eastAsia" w:ascii="仿宋_GB2312" w:hAnsi="仿宋_GB2312" w:eastAsia="仿宋_GB2312" w:cs="仿宋_GB2312"/>
          <w:color w:val="auto"/>
          <w:sz w:val="32"/>
          <w:szCs w:val="32"/>
          <w:highlight w:val="none"/>
          <w:u w:val="none"/>
          <w:lang w:val="en-US" w:eastAsia="zh-CN"/>
        </w:rPr>
        <w:t>26</w:t>
      </w:r>
      <w:r>
        <w:rPr>
          <w:rStyle w:val="37"/>
          <w:rFonts w:hint="eastAsia" w:ascii="仿宋_GB2312" w:hAnsi="仿宋_GB2312" w:eastAsia="仿宋_GB2312" w:cs="仿宋_GB2312"/>
          <w:color w:val="auto"/>
          <w:sz w:val="32"/>
          <w:szCs w:val="32"/>
          <w:highlight w:val="none"/>
          <w:u w:val="none"/>
        </w:rPr>
        <w:t>日至</w:t>
      </w:r>
      <w:r>
        <w:rPr>
          <w:rStyle w:val="37"/>
          <w:rFonts w:hint="eastAsia" w:ascii="仿宋_GB2312" w:hAnsi="仿宋_GB2312" w:eastAsia="仿宋_GB2312" w:cs="仿宋_GB2312"/>
          <w:color w:val="auto"/>
          <w:sz w:val="32"/>
          <w:szCs w:val="32"/>
          <w:highlight w:val="none"/>
          <w:u w:val="none"/>
          <w:lang w:val="en-US" w:eastAsia="zh-CN"/>
        </w:rPr>
        <w:t>12</w:t>
      </w:r>
      <w:r>
        <w:rPr>
          <w:rStyle w:val="37"/>
          <w:rFonts w:hint="eastAsia" w:ascii="仿宋_GB2312" w:hAnsi="仿宋_GB2312" w:eastAsia="仿宋_GB2312" w:cs="仿宋_GB2312"/>
          <w:color w:val="auto"/>
          <w:sz w:val="32"/>
          <w:szCs w:val="32"/>
          <w:highlight w:val="none"/>
          <w:u w:val="none"/>
        </w:rPr>
        <w:t>月</w:t>
      </w:r>
      <w:r>
        <w:rPr>
          <w:rStyle w:val="37"/>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（法定公休日及法定节假日除外）每天</w:t>
      </w:r>
      <w:r>
        <w:rPr>
          <w:rFonts w:ascii="仿宋_GB2312" w:hAnsi="仿宋_GB2312" w:eastAsia="仿宋_GB2312" w:cs="仿宋_GB2312"/>
          <w:sz w:val="32"/>
          <w:szCs w:val="32"/>
          <w:highlight w:val="none"/>
        </w:rPr>
        <w:t>9:00</w:t>
      </w:r>
      <w:r>
        <w:rPr>
          <w:rFonts w:hint="eastAsia" w:ascii="仿宋_GB2312" w:hAnsi="仿宋_GB2312" w:eastAsia="仿宋_GB2312" w:cs="仿宋_GB2312"/>
          <w:sz w:val="32"/>
          <w:szCs w:val="32"/>
          <w:highlight w:val="none"/>
        </w:rPr>
        <w:t>—17:00，到</w:t>
      </w:r>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（福建省福州市鼓楼区东水路18号交通运输厅26楼）领取询价采购文件</w:t>
      </w:r>
      <w:r>
        <w:rPr>
          <w:rFonts w:hint="eastAsia" w:ascii="仿宋_GB2312" w:hAnsi="仿宋_GB2312" w:eastAsia="仿宋_GB2312" w:cs="仿宋_GB2312"/>
          <w:sz w:val="32"/>
          <w:szCs w:val="32"/>
          <w:highlight w:val="none"/>
          <w:lang w:val="en-US" w:eastAsia="zh-CN"/>
        </w:rPr>
        <w:t>或自行从官网下载</w:t>
      </w:r>
      <w:r>
        <w:rPr>
          <w:rFonts w:hint="eastAsia" w:ascii="仿宋_GB2312" w:hAnsi="仿宋_GB2312" w:eastAsia="仿宋_GB2312" w:cs="仿宋_GB2312"/>
          <w:sz w:val="32"/>
          <w:szCs w:val="32"/>
          <w:highlight w:val="none"/>
        </w:rPr>
        <w:t>。</w:t>
      </w:r>
    </w:p>
    <w:p>
      <w:pPr>
        <w:spacing w:line="560" w:lineRule="exact"/>
        <w:ind w:firstLine="640" w:firstLineChars="200"/>
        <w:outlineLvl w:val="0"/>
        <w:rPr>
          <w:rFonts w:ascii="仿宋_GB2312" w:hAnsi="仿宋_GB2312" w:eastAsia="仿宋_GB2312" w:cs="仿宋_GB2312"/>
          <w:sz w:val="32"/>
          <w:szCs w:val="32"/>
          <w:highlight w:val="none"/>
        </w:rPr>
      </w:pPr>
      <w:bookmarkStart w:id="33" w:name="_Toc20987"/>
      <w:bookmarkStart w:id="34" w:name="_Toc19478"/>
      <w:bookmarkStart w:id="35" w:name="_Toc13417"/>
      <w:bookmarkStart w:id="36" w:name="_Toc4696"/>
      <w:bookmarkStart w:id="37" w:name="_Toc26131"/>
      <w:r>
        <w:rPr>
          <w:rFonts w:hint="eastAsia" w:ascii="仿宋_GB2312" w:hAnsi="仿宋_GB2312" w:eastAsia="仿宋_GB2312" w:cs="仿宋_GB2312"/>
          <w:b/>
          <w:sz w:val="32"/>
          <w:szCs w:val="32"/>
          <w:highlight w:val="none"/>
        </w:rPr>
        <w:t>四、响应文件递交方式及递交截止时间</w:t>
      </w:r>
      <w:bookmarkEnd w:id="33"/>
      <w:bookmarkEnd w:id="34"/>
      <w:bookmarkEnd w:id="35"/>
      <w:bookmarkEnd w:id="36"/>
      <w:bookmarkEnd w:id="37"/>
    </w:p>
    <w:p>
      <w:pPr>
        <w:spacing w:line="560" w:lineRule="exact"/>
        <w:ind w:firstLine="640" w:firstLineChars="200"/>
        <w:outlineLvl w:val="1"/>
        <w:rPr>
          <w:rFonts w:ascii="仿宋_GB2312" w:hAnsi="仿宋_GB2312" w:eastAsia="仿宋_GB2312" w:cs="仿宋_GB2312"/>
          <w:bCs/>
          <w:sz w:val="32"/>
          <w:szCs w:val="32"/>
          <w:highlight w:val="none"/>
        </w:rPr>
      </w:pPr>
      <w:bookmarkStart w:id="38" w:name="_Toc6177"/>
      <w:bookmarkStart w:id="39" w:name="_Toc31488"/>
      <w:r>
        <w:rPr>
          <w:rFonts w:hint="eastAsia" w:ascii="仿宋_GB2312" w:hAnsi="仿宋_GB2312" w:eastAsia="仿宋_GB2312" w:cs="仿宋_GB2312"/>
          <w:bCs/>
          <w:sz w:val="32"/>
          <w:szCs w:val="32"/>
          <w:highlight w:val="none"/>
        </w:rPr>
        <w:t>（一）响应文件递交方式</w:t>
      </w:r>
      <w:bookmarkEnd w:id="38"/>
      <w:bookmarkEnd w:id="39"/>
      <w:bookmarkStart w:id="497" w:name="_GoBack"/>
      <w:bookmarkEnd w:id="497"/>
    </w:p>
    <w:p>
      <w:pPr>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本项目可采用以下两种方式送达响应文件：</w:t>
      </w:r>
    </w:p>
    <w:p>
      <w:pPr>
        <w:spacing w:line="560" w:lineRule="exact"/>
        <w:ind w:firstLine="640" w:firstLineChars="200"/>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rPr>
        <w:t>邮寄递交：供应商应在响应递交截止时间前将响应文件按照询价采购文件规定包封后快递送达福州市鼓楼区东水路18号交通综合大楼26层，采购人以签收响应文件时间确定为递交时间。</w:t>
      </w:r>
    </w:p>
    <w:p>
      <w:pPr>
        <w:spacing w:line="56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收件信息如下：</w:t>
      </w:r>
    </w:p>
    <w:p>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邮寄地址：福州市鼓楼区东水路18号交通综合大楼26层</w:t>
      </w:r>
      <w:r>
        <w:rPr>
          <w:rFonts w:hint="eastAsia" w:ascii="仿宋_GB2312" w:hAnsi="仿宋_GB2312" w:eastAsia="仿宋_GB2312" w:cs="仿宋_GB2312"/>
          <w:bCs/>
          <w:sz w:val="32"/>
          <w:szCs w:val="32"/>
          <w:highlight w:val="none"/>
          <w:lang w:eastAsia="zh-CN"/>
        </w:rPr>
        <w:t>福路通资源循环（福建）集团有限公司</w:t>
      </w:r>
    </w:p>
    <w:p>
      <w:pPr>
        <w:spacing w:line="560" w:lineRule="exact"/>
        <w:ind w:firstLine="640" w:firstLineChars="200"/>
        <w:rPr>
          <w:rFonts w:hint="default"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rPr>
        <w:t>收件人：</w:t>
      </w:r>
      <w:r>
        <w:rPr>
          <w:rFonts w:hint="eastAsia" w:ascii="仿宋_GB2312" w:hAnsi="仿宋_GB2312" w:eastAsia="仿宋_GB2312" w:cs="仿宋_GB2312"/>
          <w:bCs/>
          <w:sz w:val="32"/>
          <w:szCs w:val="32"/>
          <w:highlight w:val="none"/>
          <w:lang w:val="en-US" w:eastAsia="zh-CN"/>
        </w:rPr>
        <w:t>吴先生</w:t>
      </w:r>
    </w:p>
    <w:p>
      <w:pPr>
        <w:spacing w:line="560" w:lineRule="exact"/>
        <w:ind w:firstLine="640" w:firstLineChars="200"/>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联系电话：</w:t>
      </w:r>
      <w:r>
        <w:rPr>
          <w:rFonts w:hint="eastAsia" w:ascii="仿宋_GB2312" w:hAnsi="仿宋_GB2312" w:eastAsia="仿宋_GB2312" w:cs="仿宋_GB2312"/>
          <w:bCs/>
          <w:sz w:val="32"/>
          <w:szCs w:val="32"/>
          <w:highlight w:val="none"/>
          <w:lang w:val="en-US" w:eastAsia="zh-CN"/>
        </w:rPr>
        <w:t>0591-87077059</w:t>
      </w:r>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rPr>
        <w:t>现场递交：供应商应在响应文件递交截止时间前由供应商法定代表人或其授权代表将纸质响应文件按照询价采购文件规定包封后递交</w:t>
      </w:r>
      <w:r>
        <w:rPr>
          <w:rFonts w:hint="eastAsia" w:ascii="仿宋_GB2312" w:hAnsi="仿宋_GB2312" w:eastAsia="仿宋_GB2312" w:cs="仿宋_GB2312"/>
          <w:sz w:val="32"/>
          <w:szCs w:val="32"/>
          <w:highlight w:val="none"/>
        </w:rPr>
        <w:t>至</w:t>
      </w:r>
      <w:bookmarkStart w:id="40" w:name="OLE_LINK1"/>
      <w:r>
        <w:rPr>
          <w:rFonts w:hint="eastAsia" w:ascii="仿宋_GB2312" w:hAnsi="仿宋_GB2312" w:eastAsia="仿宋_GB2312" w:cs="仿宋_GB2312"/>
          <w:sz w:val="32"/>
          <w:szCs w:val="32"/>
          <w:highlight w:val="none"/>
          <w:u w:val="none"/>
        </w:rPr>
        <w:t>福</w:t>
      </w:r>
      <w:r>
        <w:rPr>
          <w:rFonts w:hint="eastAsia" w:ascii="仿宋_GB2312" w:hAnsi="仿宋_GB2312" w:eastAsia="仿宋_GB2312" w:cs="仿宋_GB2312"/>
          <w:sz w:val="32"/>
          <w:szCs w:val="32"/>
          <w:highlight w:val="none"/>
        </w:rPr>
        <w:t>建省福州市鼓楼区东水路18号交通运输厅26楼</w:t>
      </w:r>
      <w:bookmarkEnd w:id="40"/>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出席代表需携带法人代表证明或法人授权委托书、身份证原件及盖有单位公章的上述资料复印件</w:t>
      </w:r>
      <w:r>
        <w:rPr>
          <w:rFonts w:hint="eastAsia" w:ascii="仿宋_GB2312" w:hAnsi="仿宋_GB2312" w:eastAsia="仿宋_GB2312" w:cs="仿宋_GB2312"/>
          <w:sz w:val="32"/>
          <w:szCs w:val="32"/>
          <w:highlight w:val="none"/>
        </w:rPr>
        <w:t>以供审查，未按要求提交投标文件将被拒绝。</w:t>
      </w:r>
    </w:p>
    <w:p>
      <w:pPr>
        <w:spacing w:line="560" w:lineRule="exact"/>
        <w:ind w:firstLine="640" w:firstLineChars="200"/>
        <w:rPr>
          <w:rFonts w:ascii="仿宋_GB2312" w:hAnsi="仿宋_GB2312" w:eastAsia="仿宋_GB2312" w:cs="仿宋_GB2312"/>
          <w:sz w:val="32"/>
          <w:szCs w:val="32"/>
          <w:highlight w:val="none"/>
        </w:rPr>
      </w:pPr>
      <w:bookmarkStart w:id="41" w:name="_Toc19577"/>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响应文件递交截止时间</w:t>
      </w:r>
      <w:bookmarkEnd w:id="41"/>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u w:val="single"/>
        </w:rPr>
        <w:t>2025</w:t>
      </w:r>
      <w:r>
        <w:rPr>
          <w:rFonts w:hint="eastAsia" w:ascii="仿宋_GB2312" w:hAnsi="仿宋_GB2312" w:eastAsia="仿宋_GB2312" w:cs="仿宋_GB2312"/>
          <w:sz w:val="32"/>
          <w:szCs w:val="32"/>
          <w:highlight w:val="none"/>
          <w:u w:val="single"/>
        </w:rPr>
        <w:t>年</w:t>
      </w:r>
      <w:r>
        <w:rPr>
          <w:rFonts w:hint="eastAsia" w:ascii="仿宋_GB2312" w:hAnsi="仿宋_GB2312" w:eastAsia="仿宋_GB2312" w:cs="仿宋_GB2312"/>
          <w:sz w:val="32"/>
          <w:szCs w:val="32"/>
          <w:highlight w:val="none"/>
          <w:u w:val="single"/>
          <w:lang w:val="en-US" w:eastAsia="zh-CN"/>
        </w:rPr>
        <w:t>12</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2</w:t>
      </w:r>
      <w:r>
        <w:rPr>
          <w:rFonts w:hint="eastAsia" w:ascii="仿宋_GB2312" w:hAnsi="仿宋_GB2312" w:eastAsia="仿宋_GB2312" w:cs="仿宋_GB2312"/>
          <w:sz w:val="32"/>
          <w:szCs w:val="32"/>
          <w:highlight w:val="none"/>
          <w:u w:val="single"/>
        </w:rPr>
        <w:t>日上午</w:t>
      </w:r>
      <w:r>
        <w:rPr>
          <w:rFonts w:ascii="仿宋_GB2312" w:hAnsi="仿宋_GB2312" w:eastAsia="仿宋_GB2312" w:cs="仿宋_GB2312"/>
          <w:sz w:val="32"/>
          <w:szCs w:val="32"/>
          <w:highlight w:val="none"/>
          <w:u w:val="single"/>
        </w:rPr>
        <w:t>9:30</w:t>
      </w:r>
      <w:r>
        <w:rPr>
          <w:rFonts w:hint="eastAsia" w:ascii="仿宋_GB2312" w:hAnsi="仿宋_GB2312" w:eastAsia="仿宋_GB2312" w:cs="仿宋_GB2312"/>
          <w:sz w:val="32"/>
          <w:szCs w:val="32"/>
          <w:highlight w:val="none"/>
        </w:rPr>
        <w:t>（北京时间），逾期送达的或不符合采购文件规定的响应文件将被拒绝。</w:t>
      </w:r>
    </w:p>
    <w:p>
      <w:pPr>
        <w:spacing w:line="560" w:lineRule="exact"/>
        <w:ind w:firstLine="640" w:firstLineChars="200"/>
        <w:jc w:val="left"/>
        <w:outlineLvl w:val="0"/>
        <w:rPr>
          <w:rFonts w:ascii="仿宋_GB2312" w:hAnsi="仿宋_GB2312" w:eastAsia="仿宋_GB2312" w:cs="仿宋_GB2312"/>
          <w:bCs/>
          <w:sz w:val="32"/>
          <w:szCs w:val="32"/>
          <w:highlight w:val="none"/>
        </w:rPr>
      </w:pPr>
      <w:bookmarkStart w:id="42" w:name="_Toc14480"/>
      <w:bookmarkStart w:id="43" w:name="_Toc9269"/>
      <w:bookmarkStart w:id="44" w:name="_Toc17721"/>
      <w:bookmarkStart w:id="45" w:name="_Toc5555"/>
      <w:bookmarkStart w:id="46" w:name="_Toc30636"/>
      <w:r>
        <w:rPr>
          <w:rFonts w:hint="eastAsia" w:ascii="仿宋_GB2312" w:hAnsi="仿宋_GB2312" w:eastAsia="仿宋_GB2312" w:cs="仿宋_GB2312"/>
          <w:b/>
          <w:sz w:val="32"/>
          <w:szCs w:val="32"/>
          <w:highlight w:val="none"/>
        </w:rPr>
        <w:t>五、开标评审时间及地点</w:t>
      </w:r>
      <w:bookmarkEnd w:id="42"/>
      <w:bookmarkEnd w:id="43"/>
      <w:bookmarkEnd w:id="44"/>
      <w:bookmarkEnd w:id="45"/>
      <w:bookmarkEnd w:id="46"/>
      <w:bookmarkStart w:id="47" w:name="OLE_LINK3"/>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u w:val="single"/>
        </w:rPr>
        <w:t>2025</w:t>
      </w:r>
      <w:r>
        <w:rPr>
          <w:rFonts w:hint="eastAsia" w:ascii="仿宋_GB2312" w:hAnsi="仿宋_GB2312" w:eastAsia="仿宋_GB2312" w:cs="仿宋_GB2312"/>
          <w:sz w:val="32"/>
          <w:szCs w:val="32"/>
          <w:highlight w:val="none"/>
          <w:u w:val="single"/>
        </w:rPr>
        <w:t>年</w:t>
      </w:r>
      <w:bookmarkEnd w:id="47"/>
      <w:r>
        <w:rPr>
          <w:rFonts w:hint="eastAsia" w:ascii="仿宋_GB2312" w:hAnsi="仿宋_GB2312" w:eastAsia="仿宋_GB2312" w:cs="仿宋_GB2312"/>
          <w:sz w:val="32"/>
          <w:szCs w:val="32"/>
          <w:highlight w:val="none"/>
          <w:u w:val="single"/>
          <w:lang w:val="en-US" w:eastAsia="zh-CN"/>
        </w:rPr>
        <w:t>12</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2</w:t>
      </w:r>
      <w:r>
        <w:rPr>
          <w:rFonts w:hint="eastAsia" w:ascii="仿宋_GB2312" w:hAnsi="仿宋_GB2312" w:eastAsia="仿宋_GB2312" w:cs="仿宋_GB2312"/>
          <w:sz w:val="32"/>
          <w:szCs w:val="32"/>
          <w:highlight w:val="none"/>
          <w:u w:val="single"/>
        </w:rPr>
        <w:t>日上午</w:t>
      </w:r>
      <w:r>
        <w:rPr>
          <w:rFonts w:ascii="仿宋_GB2312" w:hAnsi="仿宋_GB2312" w:eastAsia="仿宋_GB2312" w:cs="仿宋_GB2312"/>
          <w:sz w:val="32"/>
          <w:szCs w:val="32"/>
          <w:highlight w:val="none"/>
          <w:u w:val="single"/>
        </w:rPr>
        <w:t>9:30</w:t>
      </w:r>
      <w:r>
        <w:rPr>
          <w:rFonts w:hint="eastAsia" w:ascii="仿宋_GB2312" w:hAnsi="仿宋_GB2312" w:eastAsia="仿宋_GB2312" w:cs="仿宋_GB2312"/>
          <w:sz w:val="32"/>
          <w:szCs w:val="32"/>
          <w:highlight w:val="none"/>
        </w:rPr>
        <w:t>（北京时间），福建省福州市鼓楼区东水路18号交通运输厅26楼</w:t>
      </w:r>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w:t>
      </w:r>
    </w:p>
    <w:p>
      <w:pPr>
        <w:spacing w:line="560" w:lineRule="exact"/>
        <w:ind w:firstLine="640" w:firstLineChars="200"/>
        <w:jc w:val="left"/>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六、凡对本次竞价提出咨询澄清或疑问，请在响应文件递交截止时间之前三日以书面形</w:t>
      </w:r>
      <w:r>
        <w:rPr>
          <w:rFonts w:hint="eastAsia" w:ascii="仿宋_GB2312" w:hAnsi="仿宋_GB2312" w:eastAsia="仿宋_GB2312" w:cs="仿宋_GB2312"/>
          <w:b/>
          <w:bCs w:val="0"/>
          <w:sz w:val="32"/>
          <w:szCs w:val="32"/>
          <w:highlight w:val="none"/>
        </w:rPr>
        <w:t>式与</w:t>
      </w:r>
      <w:r>
        <w:rPr>
          <w:rFonts w:hint="eastAsia" w:ascii="仿宋_GB2312" w:hAnsi="仿宋_GB2312" w:eastAsia="仿宋_GB2312" w:cs="仿宋_GB2312"/>
          <w:b/>
          <w:bCs w:val="0"/>
          <w:sz w:val="32"/>
          <w:szCs w:val="32"/>
          <w:highlight w:val="none"/>
          <w:lang w:eastAsia="zh-CN"/>
        </w:rPr>
        <w:t>福路通资源循环（福建）集团有限公司</w:t>
      </w:r>
      <w:r>
        <w:rPr>
          <w:rFonts w:hint="eastAsia" w:ascii="仿宋_GB2312" w:hAnsi="仿宋_GB2312" w:eastAsia="仿宋_GB2312" w:cs="仿宋_GB2312"/>
          <w:b/>
          <w:sz w:val="32"/>
          <w:szCs w:val="32"/>
          <w:highlight w:val="none"/>
        </w:rPr>
        <w:t>联系。</w:t>
      </w:r>
      <w:r>
        <w:rPr>
          <w:rFonts w:ascii="仿宋_GB2312" w:hAnsi="仿宋_GB2312" w:eastAsia="仿宋_GB2312" w:cs="仿宋_GB2312"/>
          <w:b/>
          <w:sz w:val="32"/>
          <w:szCs w:val="32"/>
          <w:highlight w:val="none"/>
        </w:rPr>
        <w:t xml:space="preserve"> </w:t>
      </w:r>
    </w:p>
    <w:p>
      <w:pPr>
        <w:spacing w:line="560" w:lineRule="exact"/>
        <w:ind w:firstLine="640" w:firstLineChars="200"/>
        <w:jc w:val="left"/>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七、竞价文件和要求如有补充修改，采购人将通过福建省高速公路集团有限公司官网（</w:t>
      </w:r>
      <w:r>
        <w:rPr>
          <w:highlight w:val="none"/>
        </w:rPr>
        <w:fldChar w:fldCharType="begin"/>
      </w:r>
      <w:r>
        <w:rPr>
          <w:highlight w:val="none"/>
        </w:rPr>
        <w:instrText xml:space="preserve"> HYPERLINK "http://www.fjgsgl.com）自行下载,或请于2020年5月" </w:instrText>
      </w:r>
      <w:r>
        <w:rPr>
          <w:highlight w:val="none"/>
        </w:rPr>
        <w:fldChar w:fldCharType="separate"/>
      </w:r>
      <w:r>
        <w:rPr>
          <w:rFonts w:hint="eastAsia" w:ascii="仿宋_GB2312" w:hAnsi="仿宋_GB2312" w:eastAsia="仿宋_GB2312" w:cs="仿宋_GB2312"/>
          <w:b/>
          <w:sz w:val="32"/>
          <w:szCs w:val="32"/>
          <w:highlight w:val="none"/>
        </w:rPr>
        <w:t>www.fjgsgl.com）、</w:t>
      </w:r>
      <w:r>
        <w:rPr>
          <w:rFonts w:hint="eastAsia" w:ascii="仿宋_GB2312" w:hAnsi="仿宋_GB2312" w:eastAsia="仿宋_GB2312" w:cs="仿宋_GB2312"/>
          <w:b/>
          <w:sz w:val="32"/>
          <w:szCs w:val="32"/>
          <w:highlight w:val="none"/>
          <w:lang w:val="en-US" w:eastAsia="zh-CN"/>
        </w:rPr>
        <w:t>中国</w:t>
      </w:r>
      <w:r>
        <w:rPr>
          <w:rFonts w:hint="eastAsia" w:ascii="仿宋_GB2312" w:hAnsi="仿宋_GB2312" w:eastAsia="仿宋_GB2312" w:cs="仿宋_GB2312"/>
          <w:b/>
          <w:sz w:val="32"/>
          <w:szCs w:val="32"/>
          <w:highlight w:val="none"/>
        </w:rPr>
        <w:t>采购与招标网（http://www.chinabidding.com.cn/)、福建高速集采平台（https://gsjc.fjetc.com/)</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t>通知，请供应商自行关注。</w:t>
      </w:r>
    </w:p>
    <w:p>
      <w:pPr>
        <w:spacing w:line="560" w:lineRule="exact"/>
        <w:ind w:firstLine="640" w:firstLineChars="200"/>
        <w:jc w:val="left"/>
        <w:outlineLvl w:val="0"/>
        <w:rPr>
          <w:rFonts w:ascii="仿宋_GB2312" w:hAnsi="仿宋_GB2312" w:eastAsia="仿宋_GB2312" w:cs="仿宋_GB2312"/>
          <w:b/>
          <w:sz w:val="32"/>
          <w:szCs w:val="32"/>
          <w:highlight w:val="none"/>
        </w:rPr>
      </w:pPr>
      <w:bookmarkStart w:id="48" w:name="_Toc30926"/>
      <w:bookmarkStart w:id="49" w:name="_Toc17097"/>
      <w:bookmarkStart w:id="50" w:name="_Toc1155"/>
      <w:bookmarkStart w:id="51" w:name="_Toc31861"/>
      <w:bookmarkStart w:id="52" w:name="_Toc17450"/>
      <w:r>
        <w:rPr>
          <w:rFonts w:hint="eastAsia" w:ascii="仿宋_GB2312" w:hAnsi="仿宋_GB2312" w:eastAsia="仿宋_GB2312" w:cs="仿宋_GB2312"/>
          <w:b/>
          <w:sz w:val="32"/>
          <w:szCs w:val="32"/>
          <w:highlight w:val="none"/>
        </w:rPr>
        <w:t>八、评审办法</w:t>
      </w:r>
      <w:bookmarkEnd w:id="48"/>
      <w:bookmarkEnd w:id="49"/>
      <w:bookmarkEnd w:id="50"/>
      <w:bookmarkEnd w:id="51"/>
      <w:bookmarkEnd w:id="52"/>
    </w:p>
    <w:p>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最低价评审法</w:t>
      </w:r>
      <w:r>
        <w:rPr>
          <w:rFonts w:hint="eastAsia" w:ascii="仿宋_GB2312" w:hAnsi="仿宋_GB2312" w:eastAsia="仿宋_GB2312" w:cs="仿宋_GB2312"/>
          <w:bCs/>
          <w:sz w:val="32"/>
          <w:szCs w:val="32"/>
          <w:highlight w:val="none"/>
        </w:rPr>
        <w:t>，具体详见</w:t>
      </w:r>
      <w:r>
        <w:rPr>
          <w:rFonts w:hint="eastAsia" w:ascii="仿宋_GB2312" w:hAnsi="仿宋_GB2312" w:eastAsia="仿宋_GB2312" w:cs="仿宋_GB2312"/>
          <w:bCs/>
          <w:sz w:val="32"/>
          <w:szCs w:val="32"/>
          <w:highlight w:val="none"/>
          <w:lang w:val="en-US" w:eastAsia="zh-CN"/>
        </w:rPr>
        <w:t>采购</w:t>
      </w:r>
      <w:r>
        <w:rPr>
          <w:rFonts w:hint="eastAsia" w:ascii="仿宋_GB2312" w:hAnsi="仿宋_GB2312" w:eastAsia="仿宋_GB2312" w:cs="仿宋_GB2312"/>
          <w:bCs/>
          <w:sz w:val="32"/>
          <w:szCs w:val="32"/>
          <w:highlight w:val="none"/>
        </w:rPr>
        <w:t>文件。</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Cs/>
          <w:sz w:val="32"/>
          <w:szCs w:val="32"/>
          <w:highlight w:val="none"/>
        </w:rPr>
        <w:t>采购人：</w:t>
      </w:r>
      <w:r>
        <w:rPr>
          <w:rFonts w:hint="eastAsia" w:ascii="仿宋_GB2312" w:hAnsi="仿宋_GB2312" w:eastAsia="仿宋_GB2312" w:cs="仿宋_GB2312"/>
          <w:sz w:val="32"/>
          <w:szCs w:val="32"/>
          <w:highlight w:val="none"/>
          <w:lang w:eastAsia="zh-CN"/>
        </w:rPr>
        <w:t>福路通资源循环（福建）集团有限公司</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地址：福建省福州市鼓楼区东水路18号交通运输厅26楼</w:t>
      </w:r>
      <w:r>
        <w:rPr>
          <w:rFonts w:hint="eastAsia" w:ascii="仿宋_GB2312" w:hAnsi="仿宋_GB2312" w:eastAsia="仿宋_GB2312" w:cs="仿宋_GB2312"/>
          <w:sz w:val="32"/>
          <w:szCs w:val="32"/>
          <w:highlight w:val="none"/>
          <w:lang w:eastAsia="zh-CN"/>
        </w:rPr>
        <w:t>福路通资源循环（福建）集团有限公司</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吴先生</w:t>
      </w:r>
    </w:p>
    <w:p>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bCs/>
          <w:sz w:val="32"/>
          <w:szCs w:val="32"/>
          <w:highlight w:val="none"/>
          <w:lang w:val="en-US" w:eastAsia="zh-CN"/>
        </w:rPr>
        <w:t>0591-87077059</w:t>
      </w:r>
    </w:p>
    <w:p>
      <w:pPr>
        <w:pStyle w:val="95"/>
        <w:spacing w:line="560" w:lineRule="exact"/>
        <w:ind w:firstLine="64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竞价保证金汇入账号：</w:t>
      </w:r>
    </w:p>
    <w:p>
      <w:pPr>
        <w:pStyle w:val="95"/>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户名：</w:t>
      </w:r>
      <w:r>
        <w:rPr>
          <w:rFonts w:hint="eastAsia" w:ascii="仿宋_GB2312" w:hAnsi="仿宋_GB2312" w:eastAsia="仿宋_GB2312" w:cs="仿宋_GB2312"/>
          <w:sz w:val="32"/>
          <w:szCs w:val="32"/>
          <w:highlight w:val="none"/>
          <w:lang w:val="en-US" w:eastAsia="zh-CN"/>
        </w:rPr>
        <w:t>福路通资源循环（福建）集团有限公司</w:t>
      </w:r>
    </w:p>
    <w:p>
      <w:pPr>
        <w:pStyle w:val="95"/>
        <w:spacing w:line="560" w:lineRule="exact"/>
        <w:ind w:firstLine="64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开户行：兴业银行股份有限公司福州华林支行</w:t>
      </w:r>
    </w:p>
    <w:p>
      <w:pPr>
        <w:pStyle w:val="95"/>
        <w:spacing w:line="560" w:lineRule="exact"/>
        <w:ind w:firstLine="64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账号：117130100171111113</w:t>
      </w:r>
    </w:p>
    <w:p>
      <w:pPr>
        <w:pStyle w:val="95"/>
        <w:spacing w:line="560" w:lineRule="exact"/>
        <w:ind w:firstLine="64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注明用途：</w:t>
      </w:r>
      <w:r>
        <w:rPr>
          <w:rFonts w:hint="eastAsia" w:ascii="仿宋_GB2312" w:hAnsi="仿宋_GB2312" w:eastAsia="仿宋_GB2312" w:cs="仿宋_GB2312"/>
          <w:sz w:val="32"/>
          <w:szCs w:val="32"/>
          <w:highlight w:val="none"/>
          <w:lang w:val="en-US" w:eastAsia="zh-CN"/>
        </w:rPr>
        <w:t>护栏原材料响应</w:t>
      </w:r>
      <w:r>
        <w:rPr>
          <w:rFonts w:hint="eastAsia" w:ascii="仿宋_GB2312" w:hAnsi="仿宋_GB2312" w:eastAsia="仿宋_GB2312" w:cs="仿宋_GB2312"/>
          <w:sz w:val="32"/>
          <w:szCs w:val="32"/>
          <w:highlight w:val="none"/>
          <w:lang w:val="en-US"/>
        </w:rPr>
        <w:t>保证金</w:t>
      </w:r>
    </w:p>
    <w:p>
      <w:pPr>
        <w:pStyle w:val="95"/>
        <w:spacing w:line="560" w:lineRule="exact"/>
        <w:ind w:left="0" w:leftChars="0" w:firstLine="0" w:firstLineChars="0"/>
        <w:rPr>
          <w:rFonts w:ascii="仿宋_GB2312" w:hAnsi="仿宋_GB2312" w:eastAsia="仿宋_GB2312" w:cs="仿宋_GB2312"/>
          <w:sz w:val="32"/>
          <w:szCs w:val="32"/>
          <w:highlight w:val="none"/>
          <w:lang w:val="en-US"/>
        </w:rPr>
      </w:pPr>
    </w:p>
    <w:p>
      <w:pPr>
        <w:pStyle w:val="95"/>
        <w:spacing w:line="560" w:lineRule="exact"/>
        <w:ind w:firstLine="640"/>
        <w:rPr>
          <w:rFonts w:ascii="仿宋_GB2312" w:hAnsi="仿宋_GB2312" w:eastAsia="仿宋_GB2312" w:cs="仿宋_GB2312"/>
          <w:sz w:val="32"/>
          <w:szCs w:val="32"/>
          <w:highlight w:val="none"/>
          <w:lang w:val="en-US"/>
        </w:rPr>
      </w:pPr>
    </w:p>
    <w:bookmarkEnd w:id="17"/>
    <w:bookmarkEnd w:id="18"/>
    <w:bookmarkEnd w:id="19"/>
    <w:p>
      <w:pPr>
        <w:spacing w:line="560" w:lineRule="exact"/>
        <w:ind w:firstLine="3520" w:firstLineChars="11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福路通资源循环（福建）集团有限公司</w:t>
      </w:r>
    </w:p>
    <w:p>
      <w:pPr>
        <w:spacing w:line="560" w:lineRule="exact"/>
        <w:ind w:firstLine="5280" w:firstLineChars="1650"/>
        <w:rPr>
          <w:rFonts w:ascii="仿宋_GB2312" w:eastAsia="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eastAsia="仿宋_GB2312"/>
          <w:sz w:val="32"/>
          <w:szCs w:val="32"/>
          <w:highlight w:val="none"/>
        </w:rPr>
        <w:t xml:space="preserve"> </w:t>
      </w:r>
      <w:r>
        <w:rPr>
          <w:rFonts w:hint="eastAsia" w:ascii="仿宋_GB2312" w:eastAsia="仿宋_GB2312"/>
          <w:sz w:val="32"/>
          <w:szCs w:val="32"/>
          <w:highlight w:val="none"/>
        </w:rPr>
        <w:t xml:space="preserve">   </w:t>
      </w: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53" w:name="_Toc7808"/>
      <w:bookmarkStart w:id="54" w:name="_Toc19625"/>
      <w:bookmarkStart w:id="55" w:name="_Toc19464"/>
      <w:bookmarkStart w:id="56" w:name="_Toc16809"/>
      <w:bookmarkStart w:id="57" w:name="_Toc6301"/>
      <w:bookmarkStart w:id="58" w:name="_Toc28027"/>
      <w:bookmarkStart w:id="59" w:name="_Toc25255"/>
      <w:bookmarkStart w:id="60" w:name="_Toc7871"/>
      <w:bookmarkStart w:id="61" w:name="_Toc15048"/>
      <w:bookmarkStart w:id="62" w:name="_Toc20226"/>
      <w:bookmarkStart w:id="63" w:name="_Toc32672"/>
      <w:bookmarkStart w:id="64" w:name="_Toc22393"/>
      <w:r>
        <w:rPr>
          <w:rFonts w:hint="eastAsia" w:ascii="黑体" w:hAnsi="黑体" w:eastAsia="黑体" w:cs="黑体"/>
          <w:sz w:val="44"/>
          <w:szCs w:val="44"/>
          <w:highlight w:val="none"/>
        </w:rPr>
        <w:t>第二篇  项目采购规格、最高限价及质量要求</w:t>
      </w:r>
      <w:bookmarkEnd w:id="53"/>
      <w:bookmarkEnd w:id="54"/>
      <w:bookmarkEnd w:id="55"/>
      <w:bookmarkEnd w:id="56"/>
      <w:bookmarkEnd w:id="57"/>
      <w:bookmarkEnd w:id="58"/>
      <w:bookmarkEnd w:id="59"/>
      <w:bookmarkEnd w:id="60"/>
      <w:bookmarkEnd w:id="61"/>
      <w:bookmarkEnd w:id="62"/>
      <w:bookmarkEnd w:id="63"/>
      <w:bookmarkEnd w:id="64"/>
    </w:p>
    <w:p>
      <w:pPr>
        <w:keepNext w:val="0"/>
        <w:keepLines w:val="0"/>
        <w:kinsoku/>
        <w:wordWrap/>
        <w:overflowPunct/>
        <w:topLinePunct w:val="0"/>
        <w:autoSpaceDE/>
        <w:autoSpaceDN/>
        <w:bidi w:val="0"/>
        <w:adjustRightInd/>
        <w:spacing w:line="560" w:lineRule="exact"/>
        <w:rPr>
          <w:rFonts w:ascii="仿宋_GB2312" w:eastAsia="仿宋_GB2312"/>
          <w:b/>
          <w:sz w:val="32"/>
          <w:szCs w:val="32"/>
          <w:highlight w:val="none"/>
        </w:rPr>
      </w:pPr>
    </w:p>
    <w:p>
      <w:pPr>
        <w:keepNext w:val="0"/>
        <w:keepLines w:val="0"/>
        <w:kinsoku/>
        <w:wordWrap/>
        <w:overflowPunct/>
        <w:topLinePunct w:val="0"/>
        <w:autoSpaceDE/>
        <w:autoSpaceDN/>
        <w:bidi w:val="0"/>
        <w:adjustRightInd/>
        <w:spacing w:line="560" w:lineRule="exact"/>
        <w:ind w:firstLine="640" w:firstLineChars="200"/>
        <w:outlineLvl w:val="0"/>
        <w:rPr>
          <w:rFonts w:ascii="仿宋_GB2312" w:hAnsi="仿宋_GB2312" w:eastAsia="仿宋_GB2312" w:cs="仿宋_GB2312"/>
          <w:b/>
          <w:sz w:val="32"/>
          <w:szCs w:val="32"/>
          <w:highlight w:val="none"/>
        </w:rPr>
      </w:pPr>
      <w:bookmarkStart w:id="65" w:name="_Toc13610"/>
      <w:bookmarkStart w:id="66" w:name="_Toc4552"/>
      <w:bookmarkStart w:id="67" w:name="_Toc6334"/>
      <w:bookmarkStart w:id="68" w:name="_Toc2381"/>
      <w:bookmarkStart w:id="69" w:name="_Toc7388"/>
      <w:bookmarkStart w:id="70" w:name="_Toc4491"/>
      <w:bookmarkStart w:id="71" w:name="_Toc8437"/>
      <w:r>
        <w:rPr>
          <w:rFonts w:hint="eastAsia" w:ascii="仿宋_GB2312" w:hAnsi="仿宋_GB2312" w:eastAsia="仿宋_GB2312" w:cs="仿宋_GB2312"/>
          <w:b/>
          <w:sz w:val="32"/>
          <w:szCs w:val="32"/>
          <w:highlight w:val="none"/>
        </w:rPr>
        <w:t>一、产品规格、最高限价</w:t>
      </w:r>
      <w:bookmarkEnd w:id="65"/>
      <w:bookmarkEnd w:id="66"/>
      <w:bookmarkEnd w:id="67"/>
      <w:bookmarkEnd w:id="68"/>
      <w:bookmarkEnd w:id="69"/>
      <w:bookmarkEnd w:id="70"/>
      <w:bookmarkEnd w:id="71"/>
    </w:p>
    <w:tbl>
      <w:tblPr>
        <w:tblStyle w:val="31"/>
        <w:tblW w:w="9249" w:type="dxa"/>
        <w:jc w:val="center"/>
        <w:tblLayout w:type="fixed"/>
        <w:tblCellMar>
          <w:top w:w="0" w:type="dxa"/>
          <w:left w:w="108" w:type="dxa"/>
          <w:bottom w:w="0" w:type="dxa"/>
          <w:right w:w="108" w:type="dxa"/>
        </w:tblCellMar>
      </w:tblPr>
      <w:tblGrid>
        <w:gridCol w:w="3721"/>
        <w:gridCol w:w="992"/>
        <w:gridCol w:w="1134"/>
        <w:gridCol w:w="1701"/>
        <w:gridCol w:w="1701"/>
      </w:tblGrid>
      <w:tr>
        <w:tblPrEx>
          <w:tblCellMar>
            <w:top w:w="0" w:type="dxa"/>
            <w:left w:w="108" w:type="dxa"/>
            <w:bottom w:w="0" w:type="dxa"/>
            <w:right w:w="108" w:type="dxa"/>
          </w:tblCellMar>
        </w:tblPrEx>
        <w:trPr>
          <w:trHeight w:val="567" w:hRule="atLeast"/>
          <w:jc w:val="center"/>
        </w:trPr>
        <w:tc>
          <w:tcPr>
            <w:tcW w:w="3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bidi="ar"/>
              </w:rPr>
              <w:t>产品类型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val="en-US" w:eastAsia="zh-CN" w:bidi="ar"/>
              </w:rPr>
              <w:t>单位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暂估</w:t>
            </w:r>
            <w:r>
              <w:rPr>
                <w:rFonts w:hint="eastAsia" w:ascii="仿宋_GB2312" w:hAnsi="仿宋_GB2312" w:eastAsia="仿宋_GB2312" w:cs="仿宋_GB2312"/>
                <w:color w:val="000000"/>
                <w:kern w:val="0"/>
                <w:sz w:val="32"/>
                <w:szCs w:val="32"/>
                <w:highlight w:val="none"/>
                <w:lang w:bidi="ar"/>
              </w:rPr>
              <w:t>数量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最高限</w:t>
            </w:r>
            <w:r>
              <w:rPr>
                <w:rFonts w:hint="eastAsia" w:ascii="仿宋_GB2312" w:hAnsi="仿宋_GB2312" w:eastAsia="仿宋_GB2312" w:cs="仿宋_GB2312"/>
                <w:color w:val="000000"/>
                <w:sz w:val="32"/>
                <w:szCs w:val="32"/>
                <w:highlight w:val="none"/>
                <w:lang w:val="en-US" w:eastAsia="zh-CN"/>
              </w:rPr>
              <w:t>制单</w:t>
            </w:r>
            <w:r>
              <w:rPr>
                <w:rFonts w:hint="eastAsia" w:ascii="仿宋_GB2312" w:hAnsi="仿宋_GB2312" w:eastAsia="仿宋_GB2312" w:cs="仿宋_GB2312"/>
                <w:color w:val="000000"/>
                <w:sz w:val="32"/>
                <w:szCs w:val="32"/>
                <w:highlight w:val="none"/>
              </w:rPr>
              <w:t>价</w:t>
            </w:r>
          </w:p>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元/米</w:t>
            </w:r>
            <w:r>
              <w:rPr>
                <w:rFonts w:hint="eastAsia" w:ascii="仿宋_GB2312" w:hAnsi="仿宋_GB2312" w:eastAsia="仿宋_GB2312" w:cs="仿宋_GB2312"/>
                <w:color w:val="000000"/>
                <w:sz w:val="32"/>
                <w:szCs w:val="32"/>
                <w:highlight w:val="none"/>
                <w:lang w:eastAsia="zh-CN"/>
              </w:rPr>
              <w: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合计金额</w:t>
            </w:r>
          </w:p>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（元）</w:t>
            </w:r>
          </w:p>
        </w:tc>
      </w:tr>
      <w:tr>
        <w:tblPrEx>
          <w:tblCellMar>
            <w:top w:w="0" w:type="dxa"/>
            <w:left w:w="108" w:type="dxa"/>
            <w:bottom w:w="0" w:type="dxa"/>
            <w:right w:w="108" w:type="dxa"/>
          </w:tblCellMar>
        </w:tblPrEx>
        <w:trPr>
          <w:trHeight w:val="567" w:hRule="atLeast"/>
          <w:jc w:val="center"/>
        </w:trPr>
        <w:tc>
          <w:tcPr>
            <w:tcW w:w="37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000000"/>
                <w:kern w:val="0"/>
                <w:sz w:val="32"/>
                <w:szCs w:val="32"/>
                <w:highlight w:val="none"/>
                <w:lang w:val="en-US" w:bidi="ar"/>
              </w:rPr>
            </w:pPr>
            <w:r>
              <w:rPr>
                <w:rFonts w:hint="eastAsia" w:ascii="仿宋_GB2312" w:hAnsi="仿宋_GB2312" w:eastAsia="仿宋_GB2312" w:cs="仿宋_GB2312"/>
                <w:b/>
                <w:bCs/>
                <w:sz w:val="24"/>
                <w:szCs w:val="24"/>
                <w:highlight w:val="none"/>
                <w:lang w:val="en-US" w:eastAsia="zh-CN"/>
              </w:rPr>
              <w:t>宁德地区旋转桶式活动护栏原材料</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2500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780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1950000</w:t>
            </w:r>
          </w:p>
        </w:tc>
      </w:tr>
      <w:tr>
        <w:tblPrEx>
          <w:tblCellMar>
            <w:top w:w="0" w:type="dxa"/>
            <w:left w:w="108" w:type="dxa"/>
            <w:bottom w:w="0" w:type="dxa"/>
            <w:right w:w="108" w:type="dxa"/>
          </w:tblCellMar>
        </w:tblPrEx>
        <w:trPr>
          <w:trHeight w:val="567" w:hRule="atLeast"/>
          <w:jc w:val="center"/>
        </w:trPr>
        <w:tc>
          <w:tcPr>
            <w:tcW w:w="75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val="0"/>
                <w:bCs w:val="0"/>
                <w:color w:val="000000"/>
                <w:sz w:val="32"/>
                <w:szCs w:val="32"/>
                <w:highlight w:val="none"/>
                <w:lang w:val="en-US"/>
              </w:rPr>
            </w:pPr>
            <w:r>
              <w:rPr>
                <w:rFonts w:hint="default" w:ascii="仿宋_GB2312" w:hAnsi="仿宋_GB2312" w:eastAsia="仿宋_GB2312" w:cs="仿宋_GB2312"/>
                <w:b w:val="0"/>
                <w:bCs w:val="0"/>
                <w:color w:val="000000"/>
                <w:sz w:val="32"/>
                <w:szCs w:val="32"/>
                <w:highlight w:val="none"/>
                <w:lang w:val="en-US"/>
              </w:rPr>
              <w:t>含税总额（元）（增值税率：</w:t>
            </w:r>
            <w:r>
              <w:rPr>
                <w:rFonts w:hint="eastAsia" w:ascii="仿宋_GB2312" w:hAnsi="仿宋_GB2312" w:eastAsia="仿宋_GB2312" w:cs="仿宋_GB2312"/>
                <w:b w:val="0"/>
                <w:bCs w:val="0"/>
                <w:color w:val="000000"/>
                <w:sz w:val="32"/>
                <w:szCs w:val="32"/>
                <w:highlight w:val="none"/>
                <w:lang w:val="en-US" w:eastAsia="zh-CN"/>
              </w:rPr>
              <w:t>13</w:t>
            </w:r>
            <w:r>
              <w:rPr>
                <w:rFonts w:hint="default" w:ascii="仿宋_GB2312" w:hAnsi="仿宋_GB2312" w:eastAsia="仿宋_GB2312" w:cs="仿宋_GB2312"/>
                <w:b w:val="0"/>
                <w:bCs w:val="0"/>
                <w:color w:val="000000"/>
                <w:sz w:val="32"/>
                <w:szCs w:val="32"/>
                <w:highlight w:val="none"/>
                <w:lang w:val="en-US"/>
              </w:rPr>
              <w:t>%）</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1950000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注：</w:t>
      </w:r>
      <w:r>
        <w:rPr>
          <w:rFonts w:hint="eastAsia" w:ascii="仿宋_GB2312" w:hAnsi="仿宋_GB2312" w:eastAsia="仿宋_GB2312" w:cs="仿宋_GB2312"/>
          <w:bCs/>
          <w:sz w:val="32"/>
          <w:szCs w:val="32"/>
          <w:highlight w:val="none"/>
          <w:lang w:val="en-US" w:eastAsia="zh-CN"/>
        </w:rPr>
        <w:t>1.采购原材料应包含横梁、立柱、套筒、万向轮构件、端头等除旋转桶外其余部件，该批次原材料必须按图纸要求镀锌。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本项目为单价合同，结算数量以实际完成并经现场验收合格数量为准。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原材料所包含的调节段，标准段，加强段以采购方通知为准。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本次供货含6米加强段，6米标准段，5米标准段，4米标准段，3米标准段及两米固定端，具体需求以采购方通知为准。</w:t>
      </w:r>
    </w:p>
    <w:p>
      <w:pPr>
        <w:pStyle w:val="22"/>
        <w:rPr>
          <w:rFonts w:hint="eastAsia" w:ascii="仿宋_GB2312" w:hAnsi="仿宋_GB2312" w:eastAsia="仿宋_GB2312" w:cs="仿宋_GB2312"/>
          <w:bCs/>
          <w:kern w:val="2"/>
          <w:sz w:val="32"/>
          <w:szCs w:val="32"/>
          <w:highlight w:val="none"/>
          <w:lang w:val="en-US" w:eastAsia="zh-CN" w:bidi="ar-SA"/>
        </w:rPr>
      </w:pPr>
    </w:p>
    <w:p>
      <w:pPr>
        <w:pStyle w:val="23"/>
        <w:rPr>
          <w:rFonts w:hint="eastAsia" w:ascii="仿宋_GB2312" w:hAnsi="仿宋_GB2312" w:eastAsia="仿宋_GB2312" w:cs="仿宋_GB2312"/>
          <w:bCs/>
          <w:kern w:val="2"/>
          <w:sz w:val="32"/>
          <w:szCs w:val="32"/>
          <w:highlight w:val="none"/>
          <w:lang w:val="en-US" w:eastAsia="zh-CN" w:bidi="ar-SA"/>
        </w:rPr>
      </w:pPr>
    </w:p>
    <w:p>
      <w:pPr>
        <w:rPr>
          <w:rFonts w:hint="eastAsia" w:ascii="仿宋_GB2312" w:hAnsi="仿宋_GB2312" w:eastAsia="仿宋_GB2312" w:cs="仿宋_GB2312"/>
          <w:bCs/>
          <w:kern w:val="2"/>
          <w:sz w:val="32"/>
          <w:szCs w:val="32"/>
          <w:highlight w:val="none"/>
          <w:lang w:val="en-US" w:eastAsia="zh-CN" w:bidi="ar-SA"/>
        </w:rPr>
      </w:pPr>
    </w:p>
    <w:p>
      <w:pPr>
        <w:pStyle w:val="2"/>
        <w:rPr>
          <w:rFonts w:hint="eastAsia" w:ascii="仿宋_GB2312" w:hAnsi="仿宋_GB2312" w:eastAsia="仿宋_GB2312" w:cs="仿宋_GB2312"/>
          <w:bCs/>
          <w:kern w:val="2"/>
          <w:sz w:val="32"/>
          <w:szCs w:val="32"/>
          <w:highlight w:val="none"/>
          <w:lang w:val="en-US" w:eastAsia="zh-CN" w:bidi="ar-SA"/>
        </w:rPr>
      </w:pPr>
    </w:p>
    <w:p>
      <w:pPr>
        <w:pStyle w:val="2"/>
        <w:rPr>
          <w:rFonts w:hint="eastAsia" w:ascii="仿宋_GB2312" w:hAnsi="仿宋_GB2312" w:eastAsia="仿宋_GB2312" w:cs="仿宋_GB2312"/>
          <w:bCs/>
          <w:kern w:val="2"/>
          <w:sz w:val="32"/>
          <w:szCs w:val="32"/>
          <w:highlight w:val="none"/>
          <w:lang w:val="en-US" w:eastAsia="zh-CN" w:bidi="ar-SA"/>
        </w:rPr>
      </w:pPr>
    </w:p>
    <w:p>
      <w:pPr>
        <w:pStyle w:val="2"/>
        <w:rPr>
          <w:rFonts w:hint="eastAsia" w:ascii="仿宋_GB2312" w:hAnsi="仿宋_GB2312" w:eastAsia="仿宋_GB2312" w:cs="仿宋_GB2312"/>
          <w:bCs/>
          <w:kern w:val="2"/>
          <w:sz w:val="32"/>
          <w:szCs w:val="32"/>
          <w:highlight w:val="none"/>
          <w:lang w:val="en-US" w:eastAsia="zh-CN" w:bidi="ar-SA"/>
        </w:rPr>
      </w:pPr>
    </w:p>
    <w:p>
      <w:pPr>
        <w:pStyle w:val="2"/>
        <w:rPr>
          <w:rFonts w:hint="eastAsia" w:ascii="仿宋_GB2312" w:hAnsi="仿宋_GB2312" w:eastAsia="仿宋_GB2312" w:cs="仿宋_GB2312"/>
          <w:bCs/>
          <w:kern w:val="2"/>
          <w:sz w:val="32"/>
          <w:szCs w:val="32"/>
          <w:highlight w:val="none"/>
          <w:lang w:val="en-US" w:eastAsia="zh-CN" w:bidi="ar-SA"/>
        </w:rPr>
      </w:pPr>
    </w:p>
    <w:p>
      <w:pPr>
        <w:pStyle w:val="22"/>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产品示意图：</w:t>
      </w:r>
    </w:p>
    <w:p>
      <w:pPr>
        <w:pStyle w:val="23"/>
        <w:rPr>
          <w:rFonts w:hint="default"/>
          <w:highlight w:val="none"/>
          <w:lang w:val="en-US" w:eastAsia="zh-CN"/>
        </w:rPr>
      </w:pPr>
      <w:r>
        <w:rPr>
          <w:highlight w:val="none"/>
        </w:rPr>
        <w:drawing>
          <wp:inline distT="0" distB="0" distL="114300" distR="114300">
            <wp:extent cx="4906645" cy="2894330"/>
            <wp:effectExtent l="0" t="0" r="63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906645" cy="2894330"/>
                    </a:xfrm>
                    <a:prstGeom prst="rect">
                      <a:avLst/>
                    </a:prstGeom>
                    <a:noFill/>
                    <a:ln>
                      <a:noFill/>
                    </a:ln>
                  </pic:spPr>
                </pic:pic>
              </a:graphicData>
            </a:graphic>
          </wp:inline>
        </w:drawing>
      </w:r>
    </w:p>
    <w:p>
      <w:pPr>
        <w:rPr>
          <w:rFonts w:hint="default"/>
          <w:highlight w:val="none"/>
          <w:lang w:val="en-US" w:eastAsia="zh-CN"/>
        </w:rPr>
      </w:pPr>
      <w:r>
        <w:rPr>
          <w:highlight w:val="none"/>
        </w:rPr>
        <w:drawing>
          <wp:inline distT="0" distB="0" distL="114300" distR="114300">
            <wp:extent cx="5789295" cy="2734945"/>
            <wp:effectExtent l="0" t="0" r="1905" b="825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a:stretch>
                      <a:fillRect/>
                    </a:stretch>
                  </pic:blipFill>
                  <pic:spPr>
                    <a:xfrm>
                      <a:off x="0" y="0"/>
                      <a:ext cx="5789295" cy="2734945"/>
                    </a:xfrm>
                    <a:prstGeom prst="rect">
                      <a:avLst/>
                    </a:prstGeom>
                    <a:noFill/>
                    <a:ln>
                      <a:noFill/>
                    </a:ln>
                  </pic:spPr>
                </pic:pic>
              </a:graphicData>
            </a:graphic>
          </wp:inline>
        </w:drawing>
      </w:r>
    </w:p>
    <w:p>
      <w:pPr>
        <w:rPr>
          <w:rFonts w:hint="eastAsia" w:eastAsia="宋体"/>
          <w:highlight w:val="none"/>
          <w:lang w:eastAsia="zh-CN"/>
        </w:rPr>
      </w:pPr>
    </w:p>
    <w:p>
      <w:pPr>
        <w:pStyle w:val="22"/>
        <w:rPr>
          <w:rFonts w:hint="eastAsia"/>
          <w:highlight w:val="none"/>
          <w:lang w:eastAsia="zh-CN"/>
        </w:rPr>
      </w:pPr>
    </w:p>
    <w:p>
      <w:pPr>
        <w:pStyle w:val="22"/>
        <w:rPr>
          <w:highlight w:val="none"/>
        </w:rPr>
      </w:pPr>
      <w:r>
        <w:rPr>
          <w:highlight w:val="none"/>
        </w:rPr>
        <w:drawing>
          <wp:inline distT="0" distB="0" distL="114300" distR="114300">
            <wp:extent cx="5530215" cy="3454400"/>
            <wp:effectExtent l="0" t="0" r="13335" b="1270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8"/>
                    <a:stretch>
                      <a:fillRect/>
                    </a:stretch>
                  </pic:blipFill>
                  <pic:spPr>
                    <a:xfrm>
                      <a:off x="0" y="0"/>
                      <a:ext cx="5530215" cy="3454400"/>
                    </a:xfrm>
                    <a:prstGeom prst="rect">
                      <a:avLst/>
                    </a:prstGeom>
                    <a:noFill/>
                    <a:ln>
                      <a:noFill/>
                    </a:ln>
                  </pic:spPr>
                </pic:pic>
              </a:graphicData>
            </a:graphic>
          </wp:inline>
        </w:drawing>
      </w:r>
    </w:p>
    <w:p>
      <w:pPr>
        <w:pStyle w:val="23"/>
        <w:rPr>
          <w:highlight w:val="none"/>
        </w:rPr>
      </w:pPr>
      <w:r>
        <w:rPr>
          <w:highlight w:val="none"/>
        </w:rPr>
        <w:drawing>
          <wp:inline distT="0" distB="0" distL="114300" distR="114300">
            <wp:extent cx="3810000" cy="2766695"/>
            <wp:effectExtent l="0" t="0" r="0" b="1460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3810000" cy="2766695"/>
                    </a:xfrm>
                    <a:prstGeom prst="rect">
                      <a:avLst/>
                    </a:prstGeom>
                    <a:noFill/>
                    <a:ln>
                      <a:noFill/>
                    </a:ln>
                  </pic:spPr>
                </pic:pic>
              </a:graphicData>
            </a:graphic>
          </wp:inline>
        </w:drawing>
      </w:r>
      <w:r>
        <w:rPr>
          <w:highlight w:val="none"/>
        </w:rPr>
        <w:drawing>
          <wp:inline distT="0" distB="0" distL="114300" distR="114300">
            <wp:extent cx="1721485" cy="2808605"/>
            <wp:effectExtent l="0" t="0" r="12065" b="1079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1721485" cy="2808605"/>
                    </a:xfrm>
                    <a:prstGeom prst="rect">
                      <a:avLst/>
                    </a:prstGeom>
                    <a:noFill/>
                    <a:ln>
                      <a:noFill/>
                    </a:ln>
                  </pic:spPr>
                </pic:pic>
              </a:graphicData>
            </a:graphic>
          </wp:inline>
        </w:drawing>
      </w:r>
      <w:r>
        <w:rPr>
          <w:highlight w:val="none"/>
        </w:rPr>
        <w:drawing>
          <wp:inline distT="0" distB="0" distL="114300" distR="114300">
            <wp:extent cx="5646420" cy="3662680"/>
            <wp:effectExtent l="0" t="0" r="11430" b="1397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5646420" cy="3662680"/>
                    </a:xfrm>
                    <a:prstGeom prst="rect">
                      <a:avLst/>
                    </a:prstGeom>
                    <a:noFill/>
                    <a:ln>
                      <a:noFill/>
                    </a:ln>
                  </pic:spPr>
                </pic:pic>
              </a:graphicData>
            </a:graphic>
          </wp:inline>
        </w:drawing>
      </w:r>
    </w:p>
    <w:p>
      <w:pPr>
        <w:pStyle w:val="2"/>
        <w:rPr>
          <w:highlight w:val="none"/>
        </w:rPr>
      </w:pPr>
    </w:p>
    <w:p>
      <w:pPr>
        <w:pStyle w:val="2"/>
        <w:rPr>
          <w:rFonts w:hint="default"/>
          <w:highlight w:val="none"/>
          <w:lang w:val="en-US" w:eastAsia="zh-CN"/>
        </w:rPr>
      </w:pPr>
      <w:r>
        <w:rPr>
          <w:highlight w:val="none"/>
        </w:rPr>
        <w:drawing>
          <wp:inline distT="0" distB="0" distL="114300" distR="114300">
            <wp:extent cx="5676900" cy="4739005"/>
            <wp:effectExtent l="0" t="0" r="0" b="444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2"/>
                    <a:stretch>
                      <a:fillRect/>
                    </a:stretch>
                  </pic:blipFill>
                  <pic:spPr>
                    <a:xfrm>
                      <a:off x="0" y="0"/>
                      <a:ext cx="5676900" cy="4739005"/>
                    </a:xfrm>
                    <a:prstGeom prst="rect">
                      <a:avLst/>
                    </a:prstGeom>
                    <a:noFill/>
                    <a:ln>
                      <a:noFill/>
                    </a:ln>
                  </pic:spPr>
                </pic:pic>
              </a:graphicData>
            </a:graphic>
          </wp:inline>
        </w:drawing>
      </w:r>
    </w:p>
    <w:p>
      <w:pPr>
        <w:spacing w:line="560" w:lineRule="exact"/>
        <w:ind w:firstLine="640" w:firstLineChars="200"/>
        <w:outlineLvl w:val="0"/>
        <w:rPr>
          <w:rFonts w:hint="eastAsia" w:ascii="仿宋_GB2312" w:hAnsi="仿宋_GB2312" w:eastAsia="仿宋_GB2312" w:cs="仿宋_GB2312"/>
          <w:b/>
          <w:sz w:val="32"/>
          <w:szCs w:val="32"/>
          <w:highlight w:val="none"/>
        </w:rPr>
      </w:pPr>
      <w:bookmarkStart w:id="72" w:name="_Toc30536"/>
      <w:bookmarkStart w:id="73" w:name="_Toc27355"/>
      <w:bookmarkStart w:id="74" w:name="_Toc24133"/>
      <w:bookmarkStart w:id="75" w:name="_Toc6780"/>
      <w:bookmarkStart w:id="76" w:name="_Toc23419"/>
      <w:bookmarkStart w:id="77" w:name="_Toc19709"/>
      <w:bookmarkStart w:id="78" w:name="_Toc16939"/>
      <w:r>
        <w:rPr>
          <w:rFonts w:hint="eastAsia" w:ascii="仿宋_GB2312" w:hAnsi="仿宋_GB2312" w:eastAsia="仿宋_GB2312" w:cs="仿宋_GB2312"/>
          <w:b/>
          <w:sz w:val="32"/>
          <w:szCs w:val="32"/>
          <w:highlight w:val="none"/>
        </w:rPr>
        <w:t>二、产品质量要求</w:t>
      </w:r>
      <w:bookmarkEnd w:id="72"/>
      <w:bookmarkEnd w:id="73"/>
      <w:bookmarkEnd w:id="74"/>
      <w:bookmarkEnd w:id="75"/>
      <w:bookmarkEnd w:id="76"/>
      <w:bookmarkEnd w:id="77"/>
      <w:bookmarkEnd w:id="78"/>
    </w:p>
    <w:p>
      <w:pPr>
        <w:pStyle w:val="2"/>
        <w:rPr>
          <w:highlight w:val="none"/>
        </w:rPr>
      </w:pP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（一）供应商严格按照</w:t>
      </w:r>
      <w:bookmarkStart w:id="79" w:name="OLE_LINK6"/>
      <w:r>
        <w:rPr>
          <w:rFonts w:hint="eastAsia" w:ascii="仿宋_GB2312" w:hAnsi="仿宋_GB2312" w:eastAsia="仿宋_GB2312" w:cs="仿宋_GB2312"/>
          <w:color w:val="000000"/>
          <w:sz w:val="32"/>
          <w:szCs w:val="32"/>
          <w:highlight w:val="none"/>
        </w:rPr>
        <w:t>采购人</w:t>
      </w:r>
      <w:bookmarkEnd w:id="79"/>
      <w:r>
        <w:rPr>
          <w:rFonts w:hint="eastAsia" w:ascii="仿宋_GB2312" w:hAnsi="仿宋_GB2312" w:eastAsia="仿宋_GB2312" w:cs="仿宋_GB2312"/>
          <w:color w:val="000000"/>
          <w:sz w:val="32"/>
          <w:szCs w:val="32"/>
          <w:highlight w:val="none"/>
        </w:rPr>
        <w:t>要求生产</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按设计图纸技术质量指标要求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，货物到达地点后，采购人应对货物进行验收，验收时，如发现有质量不合格，数量不符的，供应商无条件退换货</w:t>
      </w:r>
      <w:r>
        <w:rPr>
          <w:rFonts w:hint="eastAsia" w:ascii="仿宋_GB2312" w:hAnsi="仿宋_GB2312" w:eastAsia="仿宋_GB2312" w:cs="仿宋_GB2312"/>
          <w:color w:val="000000"/>
          <w:sz w:val="32"/>
          <w:szCs w:val="32"/>
          <w:highlight w:val="none"/>
          <w:lang w:val="en-US" w:eastAsia="zh-CN"/>
        </w:rPr>
        <w:t>并承担违约责任</w:t>
      </w:r>
      <w:r>
        <w:rPr>
          <w:rFonts w:hint="eastAsia" w:ascii="仿宋_GB2312" w:hAnsi="仿宋_GB2312" w:eastAsia="仿宋_GB2312" w:cs="仿宋_GB2312"/>
          <w:color w:val="000000"/>
          <w:sz w:val="32"/>
          <w:szCs w:val="32"/>
          <w:highlight w:val="none"/>
        </w:rPr>
        <w:t>。供应商</w:t>
      </w:r>
      <w:r>
        <w:rPr>
          <w:rFonts w:hint="eastAsia" w:ascii="仿宋_GB2312" w:hAnsi="仿宋_GB2312" w:eastAsia="仿宋_GB2312" w:cs="仿宋_GB2312"/>
          <w:sz w:val="32"/>
          <w:szCs w:val="32"/>
          <w:highlight w:val="none"/>
        </w:rPr>
        <w:t>要做好</w:t>
      </w:r>
      <w:r>
        <w:rPr>
          <w:rFonts w:hint="eastAsia" w:ascii="仿宋_GB2312" w:hAnsi="仿宋_GB2312" w:eastAsia="仿宋_GB2312" w:cs="仿宋_GB2312"/>
          <w:color w:val="000000"/>
          <w:kern w:val="0"/>
          <w:sz w:val="32"/>
          <w:szCs w:val="32"/>
          <w:highlight w:val="none"/>
          <w:lang w:eastAsia="zh-CN" w:bidi="ar"/>
        </w:rPr>
        <w:t>宁德地区旋转桶式活动护栏原材料（</w:t>
      </w:r>
      <w:r>
        <w:rPr>
          <w:rFonts w:hint="eastAsia" w:ascii="仿宋_GB2312" w:hAnsi="仿宋_GB2312" w:eastAsia="仿宋_GB2312" w:cs="仿宋_GB2312"/>
          <w:color w:val="000000"/>
          <w:kern w:val="0"/>
          <w:sz w:val="32"/>
          <w:szCs w:val="32"/>
          <w:highlight w:val="none"/>
          <w:lang w:val="en-US" w:eastAsia="zh-CN" w:bidi="ar"/>
        </w:rPr>
        <w:t>不含滚筒）组装</w:t>
      </w:r>
      <w:r>
        <w:rPr>
          <w:rFonts w:hint="eastAsia" w:ascii="仿宋_GB2312" w:hAnsi="仿宋_GB2312" w:eastAsia="仿宋_GB2312" w:cs="仿宋_GB2312"/>
          <w:sz w:val="32"/>
          <w:szCs w:val="32"/>
          <w:highlight w:val="none"/>
        </w:rPr>
        <w:t>装卸、调试过程中的安全工作，并对此产生的相关安全责任负全责。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pPr>
      <w:bookmarkStart w:id="80" w:name="_Toc15939"/>
      <w:bookmarkStart w:id="81" w:name="_Toc8749"/>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bookmarkEnd w:id="80"/>
      <w:bookmarkEnd w:id="81"/>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护栏所有配件及材料等级质量参数</w:t>
      </w:r>
      <w:r>
        <w:rPr>
          <w:rFonts w:hint="eastAsia" w:ascii="仿宋_GB2312" w:hAnsi="Times New Roman" w:eastAsia="仿宋_GB2312" w:cs="Times New Roman"/>
          <w:b w:val="0"/>
          <w:bCs w:val="0"/>
          <w:color w:val="000000" w:themeColor="text1"/>
          <w:sz w:val="32"/>
          <w:szCs w:val="32"/>
          <w:highlight w:val="none"/>
          <w:lang w:val="en-US" w:eastAsia="zh-CN"/>
          <w14:textFill>
            <w14:solidFill>
              <w14:schemeClr w14:val="tx1"/>
            </w14:solidFill>
          </w14:textFill>
        </w:rPr>
        <w:t>应满足图纸要求，同时</w:t>
      </w:r>
      <w:r>
        <w:rPr>
          <w:rFonts w:hint="default" w:ascii="仿宋_GB2312" w:hAnsi="Times New Roman" w:eastAsia="仿宋_GB2312" w:cs="Times New Roman"/>
          <w:b w:val="0"/>
          <w:bCs w:val="0"/>
          <w:color w:val="000000" w:themeColor="text1"/>
          <w:sz w:val="32"/>
          <w:szCs w:val="32"/>
          <w:highlight w:val="none"/>
          <w:lang w:val="en-US" w:eastAsia="zh-CN"/>
          <w14:textFill>
            <w14:solidFill>
              <w14:schemeClr w14:val="tx1"/>
            </w14:solidFill>
          </w14:textFill>
        </w:rPr>
        <w:t>应按规范要求进行涂层防腐处理</w:t>
      </w:r>
      <w:r>
        <w:rPr>
          <w:rFonts w:hint="eastAsia" w:ascii="仿宋_GB2312"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w:t>
      </w:r>
      <w:r>
        <w:rPr>
          <w:rFonts w:hint="eastAsia" w:ascii="仿宋_GB2312" w:eastAsia="仿宋_GB2312"/>
          <w:b/>
          <w:bCs/>
          <w:color w:val="000000" w:themeColor="text1"/>
          <w:sz w:val="32"/>
          <w:szCs w:val="32"/>
          <w:highlight w:val="none"/>
          <w:lang w:val="en-US" w:eastAsia="zh-CN"/>
          <w14:textFill>
            <w14:solidFill>
              <w14:schemeClr w14:val="tx1"/>
            </w14:solidFill>
          </w14:textFill>
        </w:rPr>
        <w:t>因工期时间紧，中标供应商应在2025年12月25日前供应完合格的旋转桶式活动护栏原材料及配件</w:t>
      </w:r>
      <w:r>
        <w:rPr>
          <w:rFonts w:hint="eastAsia" w:ascii="仿宋_GB2312" w:eastAsia="仿宋_GB2312"/>
          <w:b/>
          <w:bCs/>
          <w:color w:val="000000" w:themeColor="text1"/>
          <w:sz w:val="32"/>
          <w:szCs w:val="32"/>
          <w:highlight w:val="none"/>
          <w14:textFill>
            <w14:solidFill>
              <w14:schemeClr w14:val="tx1"/>
            </w14:solidFill>
          </w14:textFill>
        </w:rPr>
        <w:t>。</w:t>
      </w:r>
    </w:p>
    <w:p>
      <w:pPr>
        <w:spacing w:line="560" w:lineRule="exact"/>
        <w:ind w:firstLine="420" w:firstLineChars="200"/>
        <w:rPr>
          <w:rFonts w:eastAsia="仿宋_GB2312"/>
          <w:color w:val="FF0000"/>
          <w:highlight w:val="none"/>
        </w:rPr>
        <w:sectPr>
          <w:footerReference r:id="rId3" w:type="default"/>
          <w:pgSz w:w="11906" w:h="16838"/>
          <w:pgMar w:top="1440" w:right="1417" w:bottom="1440" w:left="1587" w:header="851" w:footer="992" w:gutter="0"/>
          <w:cols w:space="720" w:num="1"/>
          <w:docGrid w:type="linesAndChars" w:linePitch="317" w:charSpace="204"/>
        </w:sect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82" w:name="_Toc14725"/>
      <w:bookmarkStart w:id="83" w:name="_Toc18504"/>
      <w:bookmarkStart w:id="84" w:name="_Toc24713"/>
      <w:bookmarkStart w:id="85" w:name="_Toc32538"/>
      <w:bookmarkStart w:id="86" w:name="_Toc29443"/>
      <w:bookmarkStart w:id="87" w:name="_Toc21277"/>
      <w:bookmarkStart w:id="88" w:name="_Toc19180"/>
      <w:bookmarkStart w:id="89" w:name="_Toc14893"/>
      <w:bookmarkStart w:id="90" w:name="_Toc25750"/>
      <w:bookmarkStart w:id="91" w:name="_Toc24722"/>
      <w:bookmarkStart w:id="92" w:name="_Toc7355"/>
      <w:bookmarkStart w:id="93" w:name="_Toc31783"/>
      <w:bookmarkStart w:id="94" w:name="_Toc12890"/>
      <w:bookmarkStart w:id="95" w:name="_Toc296"/>
      <w:r>
        <w:rPr>
          <w:rFonts w:hint="eastAsia" w:ascii="黑体" w:hAnsi="黑体" w:eastAsia="黑体" w:cs="黑体"/>
          <w:sz w:val="44"/>
          <w:szCs w:val="44"/>
          <w:highlight w:val="none"/>
        </w:rPr>
        <w:t>第三篇  供应商须知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pacing w:line="560" w:lineRule="exact"/>
        <w:ind w:firstLine="643" w:firstLineChars="200"/>
        <w:rPr>
          <w:rFonts w:ascii="仿宋_GB2312" w:eastAsia="仿宋_GB2312"/>
          <w:b/>
          <w:sz w:val="32"/>
          <w:szCs w:val="32"/>
          <w:highlight w:val="none"/>
        </w:rPr>
      </w:pPr>
    </w:p>
    <w:p>
      <w:pPr>
        <w:spacing w:line="560" w:lineRule="exact"/>
        <w:ind w:firstLine="643" w:firstLineChars="200"/>
        <w:outlineLvl w:val="0"/>
        <w:rPr>
          <w:rFonts w:ascii="仿宋_GB2312" w:hAnsi="仿宋_GB2312" w:eastAsia="仿宋_GB2312" w:cs="仿宋_GB2312"/>
          <w:b/>
          <w:sz w:val="32"/>
          <w:szCs w:val="32"/>
          <w:highlight w:val="none"/>
        </w:rPr>
      </w:pPr>
      <w:bookmarkStart w:id="96" w:name="_Toc6770"/>
      <w:bookmarkStart w:id="97" w:name="_Toc3437"/>
      <w:bookmarkStart w:id="98" w:name="_Toc6819"/>
      <w:bookmarkStart w:id="99" w:name="_Toc8816"/>
      <w:bookmarkStart w:id="100" w:name="_Toc23396"/>
      <w:bookmarkStart w:id="101" w:name="_Toc8943"/>
      <w:bookmarkStart w:id="102" w:name="_Toc26561"/>
      <w:r>
        <w:rPr>
          <w:rFonts w:hint="eastAsia" w:ascii="仿宋_GB2312" w:hAnsi="仿宋_GB2312" w:eastAsia="仿宋_GB2312" w:cs="仿宋_GB2312"/>
          <w:b/>
          <w:sz w:val="32"/>
          <w:szCs w:val="32"/>
          <w:highlight w:val="none"/>
        </w:rPr>
        <w:t>一、资金来源</w:t>
      </w:r>
      <w:bookmarkEnd w:id="96"/>
      <w:bookmarkEnd w:id="97"/>
      <w:bookmarkEnd w:id="98"/>
      <w:bookmarkEnd w:id="99"/>
      <w:bookmarkEnd w:id="100"/>
      <w:bookmarkEnd w:id="101"/>
      <w:bookmarkEnd w:id="102"/>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资金来源：</w:t>
      </w:r>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企业自筹资金。</w:t>
      </w:r>
    </w:p>
    <w:p>
      <w:pPr>
        <w:spacing w:line="560" w:lineRule="exact"/>
        <w:ind w:firstLine="643" w:firstLineChars="200"/>
        <w:outlineLvl w:val="0"/>
        <w:rPr>
          <w:rFonts w:ascii="仿宋_GB2312" w:hAnsi="仿宋_GB2312" w:eastAsia="仿宋_GB2312" w:cs="仿宋_GB2312"/>
          <w:b/>
          <w:sz w:val="32"/>
          <w:szCs w:val="32"/>
          <w:highlight w:val="none"/>
        </w:rPr>
      </w:pPr>
      <w:bookmarkStart w:id="103" w:name="_Toc14753"/>
      <w:bookmarkStart w:id="104" w:name="_Toc18846"/>
      <w:bookmarkStart w:id="105" w:name="_Toc31811"/>
      <w:bookmarkStart w:id="106" w:name="_Toc26034"/>
      <w:bookmarkStart w:id="107" w:name="_Toc3369"/>
      <w:bookmarkStart w:id="108" w:name="_Toc13171"/>
      <w:bookmarkStart w:id="109" w:name="_Toc32750"/>
      <w:r>
        <w:rPr>
          <w:rFonts w:hint="eastAsia" w:ascii="仿宋_GB2312" w:hAnsi="仿宋_GB2312" w:eastAsia="仿宋_GB2312" w:cs="仿宋_GB2312"/>
          <w:b/>
          <w:sz w:val="32"/>
          <w:szCs w:val="32"/>
          <w:highlight w:val="none"/>
        </w:rPr>
        <w:t>二、供应商的合格条件</w:t>
      </w:r>
      <w:bookmarkEnd w:id="103"/>
      <w:bookmarkEnd w:id="104"/>
      <w:bookmarkEnd w:id="105"/>
      <w:bookmarkEnd w:id="106"/>
      <w:bookmarkEnd w:id="107"/>
      <w:bookmarkEnd w:id="108"/>
      <w:bookmarkEnd w:id="109"/>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（一）本项目采用资格后审方式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（二）资格条件要求</w:t>
      </w:r>
    </w:p>
    <w:tbl>
      <w:tblPr>
        <w:tblStyle w:val="32"/>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营业执照</w:t>
            </w:r>
          </w:p>
        </w:tc>
        <w:tc>
          <w:tcPr>
            <w:tcW w:w="6606" w:type="dxa"/>
            <w:vAlign w:val="center"/>
          </w:tcPr>
          <w:p>
            <w:pPr>
              <w:keepNext/>
              <w:keepLines/>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供应商应提供有效的依法合法设立的独立法人企业的营业执照复印件并加盖供应商公章，未提供或提供不全的响应文件将被否决。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法定代表人授权书或法定代表人身份证明</w:t>
            </w:r>
          </w:p>
        </w:tc>
        <w:tc>
          <w:tcPr>
            <w:tcW w:w="6606" w:type="dxa"/>
            <w:vAlign w:val="center"/>
          </w:tcPr>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供应商应提供法定代表人授权书或法定代表人身份证明，未提供或提供不全的响应文件将被否决。</w:t>
            </w: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注：供应商应按照采购文件格式规定提供。</w:t>
            </w:r>
          </w:p>
        </w:tc>
      </w:tr>
    </w:tbl>
    <w:p>
      <w:pPr>
        <w:spacing w:line="560" w:lineRule="exact"/>
        <w:ind w:firstLine="643" w:firstLineChars="200"/>
        <w:outlineLvl w:val="0"/>
        <w:rPr>
          <w:rFonts w:ascii="仿宋_GB2312" w:hAnsi="仿宋_GB2312" w:eastAsia="仿宋_GB2312" w:cs="仿宋_GB2312"/>
          <w:bCs/>
          <w:sz w:val="32"/>
          <w:szCs w:val="32"/>
          <w:highlight w:val="none"/>
        </w:rPr>
      </w:pPr>
      <w:bookmarkStart w:id="110" w:name="_Toc5610"/>
      <w:bookmarkStart w:id="111" w:name="_Toc30593"/>
      <w:bookmarkStart w:id="112" w:name="_Toc4294"/>
      <w:bookmarkStart w:id="113" w:name="_Toc9403"/>
      <w:bookmarkStart w:id="114" w:name="_Toc7335"/>
      <w:bookmarkStart w:id="115" w:name="_Toc8181"/>
      <w:bookmarkStart w:id="116" w:name="_Toc13808"/>
      <w:r>
        <w:rPr>
          <w:rFonts w:hint="eastAsia" w:ascii="仿宋_GB2312" w:hAnsi="仿宋_GB2312" w:eastAsia="仿宋_GB2312" w:cs="仿宋_GB2312"/>
          <w:b/>
          <w:sz w:val="32"/>
          <w:szCs w:val="32"/>
          <w:highlight w:val="none"/>
        </w:rPr>
        <w:t>三、询价采购日程安排</w:t>
      </w:r>
      <w:bookmarkEnd w:id="110"/>
      <w:bookmarkEnd w:id="111"/>
      <w:bookmarkEnd w:id="112"/>
      <w:bookmarkEnd w:id="113"/>
      <w:bookmarkEnd w:id="114"/>
      <w:bookmarkEnd w:id="115"/>
      <w:bookmarkEnd w:id="116"/>
    </w:p>
    <w:tbl>
      <w:tblPr>
        <w:tblStyle w:val="3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032"/>
        <w:gridCol w:w="5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询价采购人</w:t>
            </w:r>
          </w:p>
        </w:tc>
        <w:tc>
          <w:tcPr>
            <w:tcW w:w="5361" w:type="dxa"/>
            <w:vAlign w:val="center"/>
          </w:tcPr>
          <w:p>
            <w:pPr>
              <w:spacing w:line="56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福路通资源循环（福建）集团有限公司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p>
        </w:tc>
        <w:tc>
          <w:tcPr>
            <w:tcW w:w="5361" w:type="dxa"/>
            <w:vAlign w:val="center"/>
          </w:tcPr>
          <w:p>
            <w:pPr>
              <w:spacing w:line="560" w:lineRule="exact"/>
              <w:jc w:val="center"/>
              <w:rPr>
                <w:rFonts w:hint="eastAsia" w:ascii="仿宋_GB2312" w:hAnsi="仿宋_GB2312" w:eastAsia="微软雅黑"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旋转桶式活动护栏原材料</w:t>
            </w:r>
            <w:r>
              <w:rPr>
                <w:rFonts w:hint="eastAsia" w:ascii="仿宋_GB2312" w:hAnsi="仿宋_GB2312" w:eastAsia="仿宋_GB2312" w:cs="仿宋_GB2312"/>
                <w:sz w:val="32"/>
                <w:szCs w:val="32"/>
                <w:highlight w:val="none"/>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询价采购方式</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询价采购文件领取</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详见询价采购公告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现场查看时间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不组织现场查看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p>
        </w:tc>
        <w:tc>
          <w:tcPr>
            <w:tcW w:w="2860" w:type="dxa"/>
            <w:vAlign w:val="center"/>
          </w:tcPr>
          <w:p>
            <w:pPr>
              <w:spacing w:line="560" w:lineRule="exact"/>
              <w:jc w:val="center"/>
              <w:rPr>
                <w:rFonts w:ascii="仿宋_GB2312" w:hAnsi="仿宋_GB2312" w:eastAsia="仿宋_GB2312" w:cs="仿宋_GB2312"/>
                <w:sz w:val="32"/>
                <w:szCs w:val="32"/>
                <w:highlight w:val="none"/>
              </w:rPr>
            </w:pPr>
            <w:bookmarkStart w:id="117" w:name="OLE_LINK11"/>
            <w:r>
              <w:rPr>
                <w:rFonts w:hint="eastAsia" w:ascii="仿宋_GB2312" w:hAnsi="仿宋_GB2312" w:eastAsia="仿宋_GB2312" w:cs="仿宋_GB2312"/>
                <w:sz w:val="32"/>
                <w:szCs w:val="32"/>
                <w:highlight w:val="none"/>
              </w:rPr>
              <w:t>响应保证金</w:t>
            </w:r>
            <w:bookmarkEnd w:id="117"/>
            <w:r>
              <w:rPr>
                <w:rFonts w:hint="eastAsia" w:ascii="仿宋_GB2312" w:hAnsi="仿宋_GB2312" w:eastAsia="仿宋_GB2312" w:cs="仿宋_GB2312"/>
                <w:sz w:val="32"/>
                <w:szCs w:val="32"/>
                <w:highlight w:val="none"/>
              </w:rPr>
              <w:t>及缴纳方式</w:t>
            </w:r>
          </w:p>
        </w:tc>
        <w:tc>
          <w:tcPr>
            <w:tcW w:w="5361" w:type="dxa"/>
            <w:vAlign w:val="center"/>
          </w:tcPr>
          <w:p>
            <w:pPr>
              <w:pStyle w:val="95"/>
              <w:spacing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本项目响应保证金额度为</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rPr>
              <w:t>0000（</w:t>
            </w:r>
            <w:r>
              <w:rPr>
                <w:rFonts w:hint="eastAsia" w:ascii="仿宋_GB2312" w:hAnsi="仿宋_GB2312" w:eastAsia="仿宋_GB2312" w:cs="仿宋_GB2312"/>
                <w:sz w:val="32"/>
                <w:szCs w:val="32"/>
                <w:highlight w:val="none"/>
                <w:lang w:val="en-US" w:eastAsia="zh-CN"/>
              </w:rPr>
              <w:t>捌</w:t>
            </w:r>
            <w:r>
              <w:rPr>
                <w:rFonts w:hint="eastAsia" w:ascii="仿宋_GB2312" w:hAnsi="仿宋_GB2312" w:eastAsia="仿宋_GB2312" w:cs="仿宋_GB2312"/>
                <w:sz w:val="32"/>
                <w:szCs w:val="32"/>
                <w:highlight w:val="none"/>
                <w:lang w:val="en-US"/>
              </w:rPr>
              <w:t>万元整），供应商须采用转账方式汇入采购人指定账户，未按要求缴纳保证金的不得参与本项目采购活动。</w:t>
            </w:r>
          </w:p>
          <w:p>
            <w:pPr>
              <w:pStyle w:val="95"/>
              <w:spacing w:line="560" w:lineRule="exact"/>
              <w:ind w:firstLine="0" w:firstLineChars="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保证金缴纳账户信息如下：</w:t>
            </w:r>
          </w:p>
          <w:p>
            <w:pPr>
              <w:pStyle w:val="95"/>
              <w:spacing w:line="560" w:lineRule="exact"/>
              <w:ind w:firstLine="0" w:firstLineChars="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rPr>
              <w:t>户名：</w:t>
            </w:r>
            <w:r>
              <w:rPr>
                <w:rFonts w:hint="eastAsia" w:ascii="仿宋_GB2312" w:hAnsi="仿宋_GB2312" w:eastAsia="仿宋_GB2312" w:cs="仿宋_GB2312"/>
                <w:b/>
                <w:bCs/>
                <w:sz w:val="32"/>
                <w:szCs w:val="32"/>
                <w:highlight w:val="none"/>
                <w:lang w:eastAsia="zh-CN"/>
              </w:rPr>
              <w:t>福路通资源循环（福建）集团有限公司</w:t>
            </w:r>
          </w:p>
          <w:p>
            <w:pPr>
              <w:pStyle w:val="95"/>
              <w:spacing w:line="560" w:lineRule="exact"/>
              <w:ind w:firstLine="0" w:firstLineChars="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lang w:val="en-US"/>
              </w:rPr>
              <w:t>开户行：</w:t>
            </w:r>
            <w:r>
              <w:rPr>
                <w:rFonts w:hint="eastAsia" w:ascii="仿宋_GB2312" w:hAnsi="仿宋_GB2312" w:eastAsia="仿宋_GB2312" w:cs="仿宋_GB2312"/>
                <w:sz w:val="32"/>
                <w:szCs w:val="32"/>
                <w:highlight w:val="none"/>
                <w:lang w:val="en-US"/>
              </w:rPr>
              <w:t>兴业银行股份有限公司福州华林支行</w:t>
            </w:r>
          </w:p>
          <w:p>
            <w:pPr>
              <w:pStyle w:val="95"/>
              <w:spacing w:line="560" w:lineRule="exact"/>
              <w:ind w:firstLine="0" w:firstLine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账号：</w:t>
            </w:r>
            <w:r>
              <w:rPr>
                <w:rFonts w:hint="eastAsia" w:ascii="仿宋_GB2312" w:hAnsi="仿宋_GB2312" w:eastAsia="仿宋_GB2312" w:cs="仿宋_GB2312"/>
                <w:sz w:val="32"/>
                <w:szCs w:val="32"/>
                <w:highlight w:val="none"/>
              </w:rPr>
              <w:t>117130100171111113</w:t>
            </w:r>
          </w:p>
          <w:p>
            <w:pPr>
              <w:pStyle w:val="95"/>
              <w:spacing w:line="560" w:lineRule="exact"/>
              <w:ind w:firstLine="0" w:firstLineChars="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rPr>
              <w:t>注明用途：</w:t>
            </w:r>
            <w:r>
              <w:rPr>
                <w:rFonts w:hint="eastAsia" w:ascii="仿宋_GB2312" w:hAnsi="仿宋_GB2312" w:eastAsia="仿宋_GB2312" w:cs="仿宋_GB2312"/>
                <w:b/>
                <w:bCs/>
                <w:sz w:val="32"/>
                <w:szCs w:val="32"/>
                <w:highlight w:val="none"/>
                <w:lang w:val="en-US" w:eastAsia="zh-CN"/>
              </w:rPr>
              <w:t>响应</w:t>
            </w:r>
            <w:r>
              <w:rPr>
                <w:rFonts w:hint="eastAsia" w:ascii="仿宋_GB2312" w:hAnsi="仿宋_GB2312" w:eastAsia="仿宋_GB2312" w:cs="仿宋_GB2312"/>
                <w:b/>
                <w:bCs/>
                <w:sz w:val="32"/>
                <w:szCs w:val="32"/>
                <w:highlight w:val="none"/>
                <w:lang w:val="en-US"/>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p>
        </w:tc>
        <w:tc>
          <w:tcPr>
            <w:tcW w:w="2860" w:type="dxa"/>
            <w:vAlign w:val="center"/>
          </w:tcPr>
          <w:p>
            <w:pPr>
              <w:spacing w:line="560" w:lineRule="exact"/>
              <w:jc w:val="center"/>
              <w:rPr>
                <w:rFonts w:ascii="仿宋_GB2312" w:hAnsi="仿宋_GB2312" w:eastAsia="仿宋_GB2312" w:cs="仿宋_GB2312"/>
                <w:sz w:val="32"/>
                <w:szCs w:val="32"/>
                <w:highlight w:val="none"/>
              </w:rPr>
            </w:pPr>
            <w:bookmarkStart w:id="118" w:name="OLE_LINK4"/>
            <w:r>
              <w:rPr>
                <w:rFonts w:hint="eastAsia" w:ascii="仿宋_GB2312" w:hAnsi="仿宋_GB2312" w:eastAsia="仿宋_GB2312" w:cs="仿宋_GB2312"/>
                <w:sz w:val="32"/>
                <w:szCs w:val="32"/>
                <w:highlight w:val="none"/>
              </w:rPr>
              <w:t>保证金</w:t>
            </w:r>
            <w:bookmarkEnd w:id="118"/>
            <w:r>
              <w:rPr>
                <w:rFonts w:hint="eastAsia" w:ascii="仿宋_GB2312" w:hAnsi="仿宋_GB2312" w:eastAsia="仿宋_GB2312" w:cs="仿宋_GB2312"/>
                <w:sz w:val="32"/>
                <w:szCs w:val="32"/>
                <w:highlight w:val="none"/>
              </w:rPr>
              <w:t>缴纳时间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日17</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00之前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答疑时间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w:t>
            </w:r>
          </w:p>
        </w:tc>
        <w:tc>
          <w:tcPr>
            <w:tcW w:w="2860" w:type="dxa"/>
            <w:vAlign w:val="center"/>
          </w:tcPr>
          <w:p>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递交响应文件</w:t>
            </w:r>
          </w:p>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响应文件评审时间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1</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合同签订时间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成交通知书下达后7日内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2</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响应文件投递地点</w:t>
            </w:r>
          </w:p>
        </w:tc>
        <w:tc>
          <w:tcPr>
            <w:tcW w:w="5361" w:type="dxa"/>
            <w:vAlign w:val="center"/>
          </w:tcPr>
          <w:p>
            <w:pPr>
              <w:spacing w:line="56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福建省福州市鼓楼区东水路18号交通运输厅26楼</w:t>
            </w:r>
            <w:r>
              <w:rPr>
                <w:rFonts w:hint="eastAsia" w:ascii="仿宋_GB2312" w:hAnsi="仿宋_GB2312" w:eastAsia="仿宋_GB2312" w:cs="仿宋_GB2312"/>
                <w:sz w:val="32"/>
                <w:szCs w:val="32"/>
                <w:highlight w:val="none"/>
                <w:lang w:eastAsia="zh-CN"/>
              </w:rPr>
              <w:t>福路通资源循环（福建）集团有限公司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交货时间、地点</w:t>
            </w:r>
          </w:p>
        </w:tc>
        <w:tc>
          <w:tcPr>
            <w:tcW w:w="5361" w:type="dxa"/>
            <w:vAlign w:val="center"/>
          </w:tcPr>
          <w:p>
            <w:pPr>
              <w:spacing w:line="560" w:lineRule="exact"/>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交货时间：由询价采购人提前</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天通知，供应商按询价采购人通知的</w:t>
            </w:r>
            <w:r>
              <w:rPr>
                <w:rFonts w:hint="eastAsia" w:ascii="仿宋_GB2312" w:hAnsi="仿宋_GB2312" w:eastAsia="仿宋_GB2312" w:cs="仿宋_GB2312"/>
                <w:sz w:val="32"/>
                <w:szCs w:val="32"/>
                <w:highlight w:val="none"/>
                <w:lang w:val="en-US" w:eastAsia="zh-CN"/>
              </w:rPr>
              <w:t>时间交付拼装好的</w:t>
            </w:r>
            <w:r>
              <w:rPr>
                <w:rFonts w:hint="eastAsia" w:ascii="仿宋_GB2312" w:hAnsi="仿宋_GB2312" w:eastAsia="仿宋_GB2312" w:cs="仿宋_GB2312"/>
                <w:b w:val="0"/>
                <w:bCs w:val="0"/>
                <w:sz w:val="32"/>
                <w:szCs w:val="32"/>
                <w:highlight w:val="none"/>
                <w:lang w:val="en-US" w:eastAsia="zh-CN"/>
              </w:rPr>
              <w:t>旋转桶式活动护栏原材料（除滚筒）</w:t>
            </w: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交货地点：宁德古田工厂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成交办法</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最低评审价法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5</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成交结果公示媒介</w:t>
            </w:r>
          </w:p>
        </w:tc>
        <w:tc>
          <w:tcPr>
            <w:tcW w:w="5361" w:type="dxa"/>
            <w:vAlign w:val="center"/>
          </w:tcPr>
          <w:p>
            <w:pPr>
              <w:wordWrap w:val="0"/>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本项目成交结果公示在</w:t>
            </w:r>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公示栏及福建省高速公路集团有限公司（www.fjgsgl.com），各供应商自行查看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6</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响应有效期</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自响应文件递交截止时间起90日</w:t>
            </w:r>
          </w:p>
        </w:tc>
      </w:tr>
    </w:tbl>
    <w:p>
      <w:pPr>
        <w:spacing w:line="560" w:lineRule="exact"/>
        <w:ind w:firstLine="640" w:firstLineChars="200"/>
        <w:outlineLvl w:val="0"/>
        <w:rPr>
          <w:rFonts w:ascii="仿宋_GB2312" w:hAnsi="仿宋_GB2312" w:eastAsia="仿宋_GB2312" w:cs="仿宋_GB2312"/>
          <w:bCs/>
          <w:sz w:val="32"/>
          <w:szCs w:val="32"/>
          <w:highlight w:val="none"/>
        </w:rPr>
      </w:pPr>
      <w:bookmarkStart w:id="119" w:name="_Toc5209"/>
      <w:bookmarkStart w:id="120" w:name="_Toc8853"/>
      <w:bookmarkStart w:id="121" w:name="_Toc8687"/>
      <w:bookmarkStart w:id="122" w:name="_Toc26966"/>
      <w:bookmarkStart w:id="123" w:name="_Toc16231"/>
      <w:bookmarkStart w:id="124" w:name="_Toc2277"/>
      <w:bookmarkStart w:id="125" w:name="_Toc15287"/>
      <w:r>
        <w:rPr>
          <w:rFonts w:hint="eastAsia" w:ascii="仿宋_GB2312" w:hAnsi="仿宋_GB2312" w:eastAsia="仿宋_GB2312" w:cs="仿宋_GB2312"/>
          <w:bCs/>
          <w:sz w:val="32"/>
          <w:szCs w:val="32"/>
          <w:highlight w:val="none"/>
        </w:rPr>
        <w:t>四、询价采购文件</w:t>
      </w:r>
      <w:bookmarkEnd w:id="119"/>
      <w:bookmarkEnd w:id="120"/>
      <w:bookmarkEnd w:id="121"/>
      <w:bookmarkEnd w:id="122"/>
      <w:bookmarkEnd w:id="123"/>
      <w:bookmarkEnd w:id="124"/>
      <w:bookmarkEnd w:id="125"/>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（一）询价采购文件由询价采购公告；项目产品规格及质量要求；供应商须知；响应文件要求；评审方法；合同主要条款、合同格式；响应文件格式共七部分组成。</w:t>
      </w:r>
    </w:p>
    <w:p>
      <w:pPr>
        <w:spacing w:line="560" w:lineRule="exact"/>
        <w:ind w:firstLine="640" w:firstLineChars="200"/>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sz w:val="32"/>
          <w:szCs w:val="32"/>
          <w:highlight w:val="none"/>
        </w:rPr>
        <w:t>（二）询价采购文件的解释权归</w:t>
      </w:r>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所有。</w:t>
      </w:r>
      <w:bookmarkStart w:id="126" w:name="_Toc7624"/>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127" w:name="_Toc14387"/>
      <w:bookmarkStart w:id="128" w:name="_Toc2930"/>
      <w:bookmarkStart w:id="129" w:name="_Toc10107"/>
      <w:bookmarkStart w:id="130" w:name="_Toc2833"/>
      <w:bookmarkStart w:id="131" w:name="_Toc28946"/>
      <w:bookmarkStart w:id="132" w:name="_Toc26461"/>
      <w:bookmarkStart w:id="133" w:name="_Toc22954"/>
      <w:bookmarkStart w:id="134" w:name="_Toc20120"/>
      <w:bookmarkStart w:id="135" w:name="_Toc11939"/>
      <w:bookmarkStart w:id="136" w:name="_Toc19783"/>
      <w:bookmarkStart w:id="137" w:name="_Toc13013"/>
      <w:r>
        <w:rPr>
          <w:rFonts w:hint="eastAsia" w:ascii="黑体" w:hAnsi="黑体" w:eastAsia="黑体" w:cs="黑体"/>
          <w:sz w:val="44"/>
          <w:szCs w:val="44"/>
          <w:highlight w:val="none"/>
        </w:rPr>
        <w:t>第四篇  响应文件要求</w:t>
      </w:r>
      <w:bookmarkEnd w:id="126"/>
      <w:bookmarkEnd w:id="127"/>
      <w:bookmarkEnd w:id="128"/>
      <w:bookmarkEnd w:id="129"/>
      <w:bookmarkEnd w:id="130"/>
      <w:bookmarkEnd w:id="131"/>
      <w:bookmarkEnd w:id="132"/>
      <w:bookmarkEnd w:id="133"/>
      <w:bookmarkEnd w:id="134"/>
      <w:bookmarkEnd w:id="135"/>
      <w:bookmarkEnd w:id="136"/>
      <w:bookmarkEnd w:id="137"/>
      <w:bookmarkStart w:id="138" w:name="_Toc409439680"/>
      <w:bookmarkStart w:id="139" w:name="_Toc508286667"/>
    </w:p>
    <w:p>
      <w:pPr>
        <w:spacing w:line="560" w:lineRule="exact"/>
        <w:ind w:firstLine="643" w:firstLineChars="200"/>
        <w:rPr>
          <w:rFonts w:ascii="仿宋_GB2312" w:hAnsi="仿宋_GB2312" w:eastAsia="仿宋_GB2312" w:cs="仿宋_GB2312"/>
          <w:b/>
          <w:sz w:val="32"/>
          <w:szCs w:val="32"/>
          <w:highlight w:val="none"/>
        </w:rPr>
      </w:pPr>
    </w:p>
    <w:p>
      <w:pPr>
        <w:spacing w:line="560" w:lineRule="exact"/>
        <w:ind w:firstLine="643" w:firstLineChars="200"/>
        <w:outlineLvl w:val="0"/>
        <w:rPr>
          <w:rFonts w:ascii="仿宋_GB2312" w:hAnsi="仿宋_GB2312" w:eastAsia="仿宋_GB2312" w:cs="仿宋_GB2312"/>
          <w:b/>
          <w:sz w:val="32"/>
          <w:szCs w:val="32"/>
          <w:highlight w:val="none"/>
        </w:rPr>
      </w:pPr>
      <w:bookmarkStart w:id="140" w:name="_Toc14659"/>
      <w:bookmarkStart w:id="141" w:name="_Toc770"/>
      <w:bookmarkStart w:id="142" w:name="_Toc12755"/>
      <w:bookmarkStart w:id="143" w:name="_Toc2546"/>
      <w:bookmarkStart w:id="144" w:name="_Toc19694"/>
      <w:bookmarkStart w:id="145" w:name="_Toc17529"/>
      <w:bookmarkStart w:id="146" w:name="_Toc3394"/>
      <w:r>
        <w:rPr>
          <w:rFonts w:hint="eastAsia" w:ascii="仿宋_GB2312" w:hAnsi="仿宋_GB2312" w:eastAsia="仿宋_GB2312" w:cs="仿宋_GB2312"/>
          <w:b/>
          <w:sz w:val="32"/>
          <w:szCs w:val="32"/>
          <w:highlight w:val="none"/>
        </w:rPr>
        <w:t>一、文件要求</w:t>
      </w:r>
      <w:bookmarkEnd w:id="138"/>
      <w:bookmarkEnd w:id="139"/>
      <w:bookmarkEnd w:id="140"/>
      <w:bookmarkEnd w:id="141"/>
      <w:bookmarkEnd w:id="142"/>
      <w:bookmarkEnd w:id="143"/>
      <w:bookmarkEnd w:id="144"/>
      <w:bookmarkEnd w:id="145"/>
      <w:bookmarkEnd w:id="146"/>
      <w:r>
        <w:rPr>
          <w:rFonts w:ascii="仿宋_GB2312" w:hAnsi="仿宋_GB2312" w:eastAsia="仿宋_GB2312" w:cs="仿宋_GB2312"/>
          <w:b/>
          <w:sz w:val="32"/>
          <w:szCs w:val="32"/>
          <w:highlight w:val="none"/>
        </w:rPr>
        <w:t xml:space="preserve">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（一）供应商应当按照询价采购文件的要求编制响应文件，供应商应满足询价采购文件提出的要求和条件。</w:t>
      </w:r>
      <w:bookmarkStart w:id="147" w:name="_Toc508286668"/>
      <w:bookmarkStart w:id="148" w:name="_Toc409439681"/>
    </w:p>
    <w:p>
      <w:pPr>
        <w:spacing w:line="560" w:lineRule="exact"/>
        <w:ind w:firstLine="643" w:firstLineChars="200"/>
        <w:outlineLvl w:val="0"/>
        <w:rPr>
          <w:rFonts w:ascii="仿宋_GB2312" w:hAnsi="仿宋_GB2312" w:eastAsia="仿宋_GB2312" w:cs="仿宋_GB2312"/>
          <w:b/>
          <w:sz w:val="32"/>
          <w:szCs w:val="32"/>
          <w:highlight w:val="none"/>
        </w:rPr>
      </w:pPr>
      <w:bookmarkStart w:id="149" w:name="_Toc5206"/>
      <w:bookmarkStart w:id="150" w:name="_Toc9833"/>
      <w:bookmarkStart w:id="151" w:name="_Toc9559"/>
      <w:bookmarkStart w:id="152" w:name="_Toc11543"/>
      <w:bookmarkStart w:id="153" w:name="_Toc31702"/>
      <w:bookmarkStart w:id="154" w:name="_Toc29213"/>
      <w:bookmarkStart w:id="155" w:name="_Toc19647"/>
      <w:r>
        <w:rPr>
          <w:rFonts w:hint="eastAsia" w:ascii="仿宋_GB2312" w:hAnsi="仿宋_GB2312" w:eastAsia="仿宋_GB2312" w:cs="仿宋_GB2312"/>
          <w:b/>
          <w:sz w:val="32"/>
          <w:szCs w:val="32"/>
          <w:highlight w:val="none"/>
        </w:rPr>
        <w:t>二、供应商响应文件的组成</w:t>
      </w:r>
      <w:bookmarkEnd w:id="147"/>
      <w:bookmarkEnd w:id="148"/>
      <w:bookmarkEnd w:id="149"/>
      <w:bookmarkEnd w:id="150"/>
      <w:bookmarkEnd w:id="151"/>
      <w:bookmarkEnd w:id="152"/>
      <w:bookmarkEnd w:id="153"/>
      <w:bookmarkEnd w:id="154"/>
      <w:bookmarkEnd w:id="155"/>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响应文件由以下部分和供应商所做的一切有效补充、修改和承诺等文件组成，具体见第七篇“响应文件格式”。它包括：</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（一）报价函；</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（二）报价表；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（三）供应商法定代表人身份证明书；</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（四）供应商法定代表人授权委托书；</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（五）资质文件。</w:t>
      </w:r>
    </w:p>
    <w:p>
      <w:pPr>
        <w:spacing w:line="560" w:lineRule="exact"/>
        <w:ind w:firstLine="640" w:firstLineChars="200"/>
        <w:rPr>
          <w:rFonts w:ascii="仿宋_GB2312" w:hAnsi="仿宋_GB2312" w:eastAsia="仿宋_GB2312" w:cs="仿宋_GB2312"/>
          <w:sz w:val="32"/>
          <w:szCs w:val="32"/>
          <w:highlight w:val="none"/>
        </w:rPr>
      </w:pPr>
      <w:bookmarkStart w:id="156" w:name="_Toc7340"/>
      <w:bookmarkStart w:id="157" w:name="_Toc24212"/>
      <w:r>
        <w:rPr>
          <w:rFonts w:hint="eastAsia" w:ascii="仿宋_GB2312" w:hAnsi="仿宋_GB2312" w:eastAsia="仿宋_GB2312" w:cs="仿宋_GB2312"/>
          <w:sz w:val="32"/>
          <w:szCs w:val="32"/>
          <w:highlight w:val="none"/>
        </w:rPr>
        <w:t>1.经有效年检的企业法人营业执照复印件（加盖供应商公章）；</w:t>
      </w:r>
      <w:bookmarkEnd w:id="156"/>
      <w:bookmarkEnd w:id="157"/>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供应商应响应询价采购文件并且符合第三篇“第二条 供应商的合格条件”规定的资格条件。</w:t>
      </w:r>
    </w:p>
    <w:p>
      <w:pPr>
        <w:spacing w:line="560" w:lineRule="exact"/>
        <w:ind w:firstLine="640" w:firstLineChars="200"/>
        <w:rPr>
          <w:rFonts w:ascii="仿宋_GB2312" w:hAnsi="仿宋_GB2312" w:eastAsia="仿宋_GB2312" w:cs="仿宋_GB2312"/>
          <w:sz w:val="32"/>
          <w:szCs w:val="32"/>
          <w:highlight w:val="none"/>
        </w:rPr>
      </w:pPr>
      <w:bookmarkStart w:id="158" w:name="_Toc5871"/>
      <w:bookmarkStart w:id="159" w:name="_Toc508286669"/>
      <w:bookmarkStart w:id="160" w:name="_Toc409439682"/>
      <w:r>
        <w:rPr>
          <w:rFonts w:hint="eastAsia" w:ascii="仿宋_GB2312" w:hAnsi="仿宋_GB2312" w:eastAsia="仿宋_GB2312" w:cs="仿宋_GB2312"/>
          <w:sz w:val="32"/>
          <w:szCs w:val="32"/>
          <w:highlight w:val="none"/>
        </w:rPr>
        <w:t>（六）风险承诺书。</w:t>
      </w:r>
      <w:bookmarkEnd w:id="158"/>
    </w:p>
    <w:bookmarkEnd w:id="159"/>
    <w:bookmarkEnd w:id="160"/>
    <w:p>
      <w:pPr>
        <w:spacing w:line="560" w:lineRule="exact"/>
        <w:ind w:firstLine="643" w:firstLineChars="200"/>
        <w:outlineLvl w:val="0"/>
        <w:rPr>
          <w:rFonts w:ascii="仿宋_GB2312" w:hAnsi="仿宋_GB2312" w:eastAsia="仿宋_GB2312" w:cs="仿宋_GB2312"/>
          <w:b/>
          <w:sz w:val="32"/>
          <w:szCs w:val="32"/>
          <w:highlight w:val="none"/>
        </w:rPr>
      </w:pPr>
      <w:bookmarkStart w:id="161" w:name="_Toc8909"/>
      <w:bookmarkStart w:id="162" w:name="_Toc2075"/>
      <w:bookmarkStart w:id="163" w:name="_Toc13896"/>
      <w:bookmarkStart w:id="164" w:name="_Toc20621"/>
      <w:bookmarkStart w:id="165" w:name="_Toc409439684"/>
      <w:bookmarkStart w:id="166" w:name="_Toc7716"/>
      <w:bookmarkStart w:id="167" w:name="_Toc8596"/>
      <w:bookmarkStart w:id="168" w:name="_Toc8650"/>
      <w:bookmarkStart w:id="169" w:name="_Toc508286670"/>
      <w:r>
        <w:rPr>
          <w:rFonts w:hint="eastAsia" w:ascii="仿宋_GB2312" w:hAnsi="仿宋_GB2312" w:eastAsia="仿宋_GB2312" w:cs="仿宋_GB2312"/>
          <w:b/>
          <w:sz w:val="32"/>
          <w:szCs w:val="32"/>
          <w:highlight w:val="none"/>
        </w:rPr>
        <w:t>三、响应文件的份数和签署</w:t>
      </w:r>
      <w:bookmarkEnd w:id="161"/>
      <w:bookmarkEnd w:id="162"/>
      <w:bookmarkEnd w:id="163"/>
      <w:bookmarkEnd w:id="164"/>
      <w:bookmarkEnd w:id="165"/>
      <w:bookmarkEnd w:id="166"/>
      <w:bookmarkEnd w:id="167"/>
      <w:bookmarkEnd w:id="168"/>
      <w:bookmarkEnd w:id="169"/>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（一）响应文件一式两份，其中正本一份，副本一份，均由法定代表人或其授权代表人签署并盖公章，副本可以用正本的完整复印件。正本与副本不一致时，以正本为准。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（二）若供应商对响应文件的错处</w:t>
      </w:r>
      <w:r>
        <w:rPr>
          <w:rFonts w:hint="eastAsia" w:ascii="仿宋_GB2312" w:hAnsi="仿宋_GB2312" w:eastAsia="仿宋_GB2312" w:cs="仿宋_GB2312"/>
          <w:sz w:val="32"/>
          <w:szCs w:val="32"/>
          <w:highlight w:val="none"/>
          <w:lang w:eastAsia="zh-CN"/>
        </w:rPr>
        <w:t>做必要</w:t>
      </w:r>
      <w:r>
        <w:rPr>
          <w:rFonts w:hint="eastAsia" w:ascii="仿宋_GB2312" w:hAnsi="仿宋_GB2312" w:eastAsia="仿宋_GB2312" w:cs="仿宋_GB2312"/>
          <w:sz w:val="32"/>
          <w:szCs w:val="32"/>
          <w:highlight w:val="none"/>
        </w:rPr>
        <w:t>修改，则应在修改处由法人代表或授权代表签字确认。</w:t>
      </w:r>
    </w:p>
    <w:p>
      <w:pPr>
        <w:spacing w:line="560" w:lineRule="exact"/>
        <w:ind w:firstLine="640" w:firstLineChars="200"/>
        <w:rPr>
          <w:rFonts w:ascii="仿宋_GB2312" w:hAnsi="仿宋_GB2312" w:eastAsia="仿宋_GB2312" w:cs="仿宋_GB2312"/>
          <w:sz w:val="32"/>
          <w:szCs w:val="32"/>
          <w:highlight w:val="none"/>
        </w:rPr>
      </w:pPr>
      <w:bookmarkStart w:id="170" w:name="_Toc1740"/>
      <w:bookmarkStart w:id="171" w:name="_Toc16047"/>
      <w:r>
        <w:rPr>
          <w:rFonts w:hint="eastAsia" w:ascii="仿宋_GB2312" w:hAnsi="仿宋_GB2312" w:eastAsia="仿宋_GB2312" w:cs="仿宋_GB2312"/>
          <w:sz w:val="32"/>
          <w:szCs w:val="32"/>
          <w:highlight w:val="none"/>
        </w:rPr>
        <w:t>（三）电报、电话、传真形式的响应文件概不接受。</w:t>
      </w:r>
      <w:bookmarkEnd w:id="170"/>
      <w:bookmarkEnd w:id="171"/>
      <w:bookmarkStart w:id="172" w:name="_Toc409439685"/>
      <w:bookmarkStart w:id="173" w:name="_Toc508286671"/>
    </w:p>
    <w:p>
      <w:pPr>
        <w:spacing w:line="560" w:lineRule="exact"/>
        <w:ind w:firstLine="643" w:firstLineChars="200"/>
        <w:outlineLvl w:val="0"/>
        <w:rPr>
          <w:rFonts w:ascii="仿宋_GB2312" w:hAnsi="仿宋_GB2312" w:eastAsia="仿宋_GB2312" w:cs="仿宋_GB2312"/>
          <w:b/>
          <w:sz w:val="32"/>
          <w:szCs w:val="32"/>
          <w:highlight w:val="none"/>
        </w:rPr>
      </w:pPr>
      <w:bookmarkStart w:id="174" w:name="_Toc29421"/>
      <w:bookmarkStart w:id="175" w:name="_Toc23976"/>
      <w:bookmarkStart w:id="176" w:name="_Toc13149"/>
      <w:bookmarkStart w:id="177" w:name="_Toc32171"/>
      <w:bookmarkStart w:id="178" w:name="_Toc24741"/>
      <w:bookmarkStart w:id="179" w:name="_Toc9896"/>
      <w:bookmarkStart w:id="180" w:name="_Toc12414"/>
      <w:r>
        <w:rPr>
          <w:rFonts w:hint="eastAsia" w:ascii="仿宋_GB2312" w:hAnsi="仿宋_GB2312" w:eastAsia="仿宋_GB2312" w:cs="仿宋_GB2312"/>
          <w:b/>
          <w:sz w:val="32"/>
          <w:szCs w:val="32"/>
          <w:highlight w:val="none"/>
        </w:rPr>
        <w:t>四、报价</w:t>
      </w:r>
      <w:bookmarkEnd w:id="172"/>
      <w:bookmarkEnd w:id="173"/>
      <w:bookmarkEnd w:id="174"/>
      <w:bookmarkEnd w:id="175"/>
      <w:bookmarkEnd w:id="176"/>
      <w:bookmarkEnd w:id="177"/>
      <w:bookmarkEnd w:id="178"/>
      <w:bookmarkEnd w:id="179"/>
      <w:bookmarkEnd w:id="180"/>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（一）供应商应严格按照《响应文件格式》的“响应文件”格式认真填写。</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（二）供应商的报价为一次性报价。即在报价有效期内报价价格固定不变。</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（三）供应商可在最高控制价以下自由报价，应一次性报出不得更改的价格。供应商所报价格包括</w:t>
      </w:r>
      <w:r>
        <w:rPr>
          <w:rFonts w:hint="eastAsia" w:ascii="仿宋_GB2312" w:hAnsi="仿宋_GB2312" w:eastAsia="仿宋_GB2312" w:cs="仿宋_GB2312"/>
          <w:sz w:val="32"/>
          <w:szCs w:val="32"/>
          <w:highlight w:val="none"/>
          <w:lang w:eastAsia="zh-CN"/>
        </w:rPr>
        <w:t>宁德地区旋转桶式活动护栏原材料（</w:t>
      </w:r>
      <w:r>
        <w:rPr>
          <w:rFonts w:hint="eastAsia" w:ascii="仿宋_GB2312" w:hAnsi="仿宋_GB2312" w:eastAsia="仿宋_GB2312" w:cs="仿宋_GB2312"/>
          <w:sz w:val="32"/>
          <w:szCs w:val="32"/>
          <w:highlight w:val="none"/>
          <w:lang w:val="en-US" w:eastAsia="zh-CN"/>
        </w:rPr>
        <w:t>除滚筒）及完成除滚筒外其余原材料拼装</w:t>
      </w:r>
      <w:r>
        <w:rPr>
          <w:rFonts w:hint="eastAsia" w:ascii="仿宋_GB2312" w:hAnsi="仿宋_GB2312" w:eastAsia="仿宋_GB2312" w:cs="仿宋_GB2312"/>
          <w:sz w:val="32"/>
          <w:szCs w:val="32"/>
          <w:highlight w:val="none"/>
        </w:rPr>
        <w:t>所需的一切费用。供应商所报的总金额超过询价采购人最高询价采购控制总金额的，响应文件作相应无效处理。</w:t>
      </w:r>
      <w:bookmarkStart w:id="181" w:name="_Toc271711745"/>
      <w:bookmarkStart w:id="182" w:name="_Toc409439686"/>
      <w:bookmarkStart w:id="183" w:name="_Toc508286672"/>
    </w:p>
    <w:bookmarkEnd w:id="181"/>
    <w:bookmarkEnd w:id="182"/>
    <w:bookmarkEnd w:id="183"/>
    <w:p>
      <w:pPr>
        <w:spacing w:line="560" w:lineRule="exact"/>
        <w:ind w:firstLine="643" w:firstLineChars="200"/>
        <w:outlineLvl w:val="0"/>
        <w:rPr>
          <w:rFonts w:ascii="仿宋_GB2312" w:hAnsi="仿宋_GB2312" w:eastAsia="仿宋_GB2312" w:cs="仿宋_GB2312"/>
          <w:b/>
          <w:sz w:val="32"/>
          <w:szCs w:val="32"/>
          <w:highlight w:val="none"/>
        </w:rPr>
      </w:pPr>
      <w:bookmarkStart w:id="184" w:name="_Toc409439687"/>
      <w:bookmarkStart w:id="185" w:name="_Toc28405"/>
      <w:bookmarkStart w:id="186" w:name="_Toc508286673"/>
      <w:bookmarkStart w:id="187" w:name="_Toc26394"/>
      <w:bookmarkStart w:id="188" w:name="_Toc25432"/>
      <w:bookmarkStart w:id="189" w:name="_Toc25615"/>
      <w:bookmarkStart w:id="190" w:name="_Toc32433"/>
      <w:bookmarkStart w:id="191" w:name="_Toc17344"/>
      <w:bookmarkStart w:id="192" w:name="_Toc30053"/>
      <w:r>
        <w:rPr>
          <w:rFonts w:hint="eastAsia" w:ascii="仿宋_GB2312" w:hAnsi="仿宋_GB2312" w:eastAsia="仿宋_GB2312" w:cs="仿宋_GB2312"/>
          <w:b/>
          <w:sz w:val="32"/>
          <w:szCs w:val="32"/>
          <w:highlight w:val="none"/>
        </w:rPr>
        <w:t>五、响应文件的递交</w:t>
      </w:r>
      <w:bookmarkEnd w:id="184"/>
      <w:bookmarkEnd w:id="185"/>
      <w:bookmarkEnd w:id="186"/>
      <w:bookmarkEnd w:id="187"/>
      <w:bookmarkEnd w:id="188"/>
      <w:bookmarkEnd w:id="189"/>
      <w:bookmarkEnd w:id="190"/>
      <w:bookmarkEnd w:id="191"/>
      <w:bookmarkEnd w:id="192"/>
    </w:p>
    <w:p>
      <w:pPr>
        <w:spacing w:line="560" w:lineRule="exact"/>
        <w:ind w:firstLine="640" w:firstLineChars="200"/>
        <w:outlineLvl w:val="1"/>
        <w:rPr>
          <w:rFonts w:ascii="仿宋_GB2312" w:hAnsi="仿宋_GB2312" w:eastAsia="仿宋_GB2312" w:cs="仿宋_GB2312"/>
          <w:sz w:val="32"/>
          <w:szCs w:val="32"/>
          <w:highlight w:val="none"/>
        </w:rPr>
      </w:pPr>
      <w:bookmarkStart w:id="193" w:name="_Toc25743"/>
      <w:bookmarkStart w:id="194" w:name="_Toc30594"/>
      <w:r>
        <w:rPr>
          <w:rFonts w:hint="eastAsia" w:ascii="仿宋_GB2312" w:hAnsi="仿宋_GB2312" w:eastAsia="仿宋_GB2312" w:cs="仿宋_GB2312"/>
          <w:sz w:val="32"/>
          <w:szCs w:val="32"/>
          <w:highlight w:val="none"/>
        </w:rPr>
        <w:t>（一）响应文件的密封与标记</w:t>
      </w:r>
      <w:bookmarkEnd w:id="193"/>
      <w:bookmarkEnd w:id="194"/>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响应文件的封面应注明“正本”“副本”字样，一并装入密封袋密封，</w:t>
      </w:r>
      <w:r>
        <w:rPr>
          <w:rFonts w:hint="eastAsia" w:ascii="仿宋_GB2312" w:hAnsi="仿宋_GB2312" w:eastAsia="仿宋_GB2312" w:cs="仿宋_GB2312"/>
          <w:b/>
          <w:sz w:val="32"/>
          <w:szCs w:val="32"/>
          <w:highlight w:val="none"/>
        </w:rPr>
        <w:t>密封袋上注明项目名称</w:t>
      </w:r>
      <w:r>
        <w:rPr>
          <w:rFonts w:hint="eastAsia" w:ascii="仿宋_GB2312" w:hAnsi="仿宋_GB2312" w:eastAsia="仿宋_GB2312" w:cs="仿宋_GB2312"/>
          <w:sz w:val="32"/>
          <w:szCs w:val="32"/>
          <w:highlight w:val="none"/>
        </w:rPr>
        <w:t>。密封袋的封口处须加盖密封章。</w:t>
      </w:r>
    </w:p>
    <w:p>
      <w:pPr>
        <w:spacing w:line="560" w:lineRule="exact"/>
        <w:ind w:firstLine="640" w:firstLineChars="200"/>
        <w:outlineLvl w:val="1"/>
        <w:rPr>
          <w:rFonts w:ascii="仿宋_GB2312" w:hAnsi="仿宋_GB2312" w:eastAsia="仿宋_GB2312" w:cs="仿宋_GB2312"/>
          <w:sz w:val="32"/>
          <w:szCs w:val="32"/>
          <w:highlight w:val="none"/>
        </w:rPr>
      </w:pPr>
      <w:bookmarkStart w:id="195" w:name="_Toc12001"/>
      <w:bookmarkStart w:id="196" w:name="_Toc1617"/>
      <w:r>
        <w:rPr>
          <w:rFonts w:hint="eastAsia" w:ascii="仿宋_GB2312" w:hAnsi="仿宋_GB2312" w:eastAsia="仿宋_GB2312" w:cs="仿宋_GB2312"/>
          <w:sz w:val="32"/>
          <w:szCs w:val="32"/>
          <w:highlight w:val="none"/>
        </w:rPr>
        <w:t>（二）响应文件的递交</w:t>
      </w:r>
      <w:bookmarkEnd w:id="195"/>
      <w:bookmarkEnd w:id="196"/>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供应商响应文件应于询价采购文件要求的递交响应文件截止时间前现场递交，响应文件的递交地点与时间见第三篇供应商须知。</w:t>
      </w:r>
      <w:bookmarkStart w:id="197" w:name="_Toc409439688"/>
      <w:bookmarkStart w:id="198" w:name="_Toc508286674"/>
    </w:p>
    <w:p>
      <w:pPr>
        <w:spacing w:line="560" w:lineRule="exact"/>
        <w:ind w:firstLine="643" w:firstLineChars="200"/>
        <w:outlineLvl w:val="0"/>
        <w:rPr>
          <w:rFonts w:ascii="仿宋_GB2312" w:hAnsi="仿宋_GB2312" w:eastAsia="仿宋_GB2312" w:cs="仿宋_GB2312"/>
          <w:b/>
          <w:sz w:val="32"/>
          <w:szCs w:val="32"/>
          <w:highlight w:val="none"/>
        </w:rPr>
      </w:pPr>
      <w:bookmarkStart w:id="199" w:name="_Toc30532"/>
      <w:bookmarkStart w:id="200" w:name="_Toc22265"/>
      <w:bookmarkStart w:id="201" w:name="_Toc19444"/>
      <w:bookmarkStart w:id="202" w:name="_Toc6057"/>
      <w:bookmarkStart w:id="203" w:name="_Toc30223"/>
      <w:bookmarkStart w:id="204" w:name="_Toc29970"/>
      <w:bookmarkStart w:id="205" w:name="_Toc17564"/>
      <w:r>
        <w:rPr>
          <w:rFonts w:hint="eastAsia" w:ascii="仿宋_GB2312" w:hAnsi="仿宋_GB2312" w:eastAsia="仿宋_GB2312" w:cs="仿宋_GB2312"/>
          <w:b/>
          <w:sz w:val="32"/>
          <w:szCs w:val="32"/>
          <w:highlight w:val="none"/>
        </w:rPr>
        <w:t>六、无效</w:t>
      </w:r>
      <w:bookmarkEnd w:id="197"/>
      <w:r>
        <w:rPr>
          <w:rFonts w:hint="eastAsia" w:ascii="仿宋_GB2312" w:hAnsi="仿宋_GB2312" w:eastAsia="仿宋_GB2312" w:cs="仿宋_GB2312"/>
          <w:b/>
          <w:sz w:val="32"/>
          <w:szCs w:val="32"/>
          <w:highlight w:val="none"/>
        </w:rPr>
        <w:t>报价</w:t>
      </w:r>
      <w:bookmarkEnd w:id="198"/>
      <w:bookmarkEnd w:id="199"/>
      <w:bookmarkEnd w:id="200"/>
      <w:bookmarkEnd w:id="201"/>
      <w:bookmarkEnd w:id="202"/>
      <w:bookmarkEnd w:id="203"/>
      <w:bookmarkEnd w:id="204"/>
      <w:bookmarkEnd w:id="205"/>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评审小组评审时，供应商响应文件出现下列情况之一者，应为无效报价：</w:t>
      </w:r>
    </w:p>
    <w:p>
      <w:pPr>
        <w:spacing w:line="560" w:lineRule="exact"/>
        <w:ind w:firstLine="640" w:firstLineChars="200"/>
        <w:rPr>
          <w:rFonts w:ascii="仿宋_GB2312" w:hAnsi="仿宋_GB2312" w:eastAsia="仿宋_GB2312" w:cs="仿宋_GB2312"/>
          <w:sz w:val="32"/>
          <w:szCs w:val="32"/>
          <w:highlight w:val="none"/>
        </w:rPr>
      </w:pPr>
      <w:bookmarkStart w:id="206" w:name="_Toc31362"/>
      <w:bookmarkStart w:id="207" w:name="_Toc17547"/>
      <w:r>
        <w:rPr>
          <w:rFonts w:hint="eastAsia" w:ascii="仿宋_GB2312" w:hAnsi="仿宋_GB2312" w:eastAsia="仿宋_GB2312" w:cs="仿宋_GB2312"/>
          <w:sz w:val="32"/>
          <w:szCs w:val="32"/>
          <w:highlight w:val="none"/>
        </w:rPr>
        <w:t>（一）供应商不具备询价采购文件规定的资格要求的。</w:t>
      </w:r>
      <w:bookmarkEnd w:id="206"/>
      <w:bookmarkEnd w:id="207"/>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（二）供应商未按照询价采购文件要求由供应商法定代表人或授权委托人签字，或未按询价采购文件要求的格式加盖公章的（</w:t>
      </w:r>
      <w:r>
        <w:rPr>
          <w:rFonts w:hint="eastAsia" w:ascii="仿宋_GB2312" w:eastAsia="仿宋_GB2312"/>
          <w:color w:val="000000"/>
          <w:sz w:val="32"/>
          <w:szCs w:val="32"/>
          <w:highlight w:val="none"/>
          <w:lang w:eastAsia="zh-CN"/>
        </w:rPr>
        <w:t>应逐页盖章并加盖骑缝章，及需签字部分</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（三）响应文件出现多个报价方案或报价的。</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（四）响应报价超出询价采购文件规定的询价采购控制价的。</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（五）响应有效期、交货时间等商务条款不能满足询价采购文件要求的。</w:t>
      </w:r>
    </w:p>
    <w:p>
      <w:pPr>
        <w:spacing w:line="560" w:lineRule="exact"/>
        <w:ind w:firstLine="640" w:firstLineChars="200"/>
        <w:rPr>
          <w:rFonts w:ascii="仿宋_GB2312" w:hAnsi="仿宋_GB2312" w:eastAsia="仿宋_GB2312" w:cs="仿宋_GB2312"/>
          <w:sz w:val="32"/>
          <w:szCs w:val="32"/>
          <w:highlight w:val="none"/>
        </w:rPr>
      </w:pPr>
      <w:bookmarkStart w:id="208" w:name="_Toc14743"/>
      <w:bookmarkStart w:id="209" w:name="_Toc3304"/>
      <w:r>
        <w:rPr>
          <w:rFonts w:hint="eastAsia" w:ascii="仿宋_GB2312" w:hAnsi="仿宋_GB2312" w:eastAsia="仿宋_GB2312" w:cs="仿宋_GB2312"/>
          <w:sz w:val="32"/>
          <w:szCs w:val="32"/>
          <w:highlight w:val="none"/>
        </w:rPr>
        <w:t>（六）报价产品不符合必须强制执行的国家标准的。</w:t>
      </w:r>
      <w:bookmarkEnd w:id="208"/>
      <w:bookmarkEnd w:id="209"/>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（七）响应文件含有违反国家法律法规的内容，或附有询价采购人不能接受的条件的。</w:t>
      </w:r>
    </w:p>
    <w:p>
      <w:pPr>
        <w:pageBreakBefore/>
        <w:spacing w:line="560" w:lineRule="exact"/>
        <w:jc w:val="center"/>
        <w:outlineLvl w:val="0"/>
        <w:rPr>
          <w:rFonts w:hint="eastAsia" w:ascii="黑体" w:hAnsi="黑体" w:eastAsia="黑体" w:cs="黑体"/>
          <w:sz w:val="44"/>
          <w:szCs w:val="44"/>
          <w:highlight w:val="none"/>
        </w:rPr>
      </w:pPr>
      <w:bookmarkStart w:id="210" w:name="_Toc31747"/>
      <w:bookmarkStart w:id="211" w:name="_Toc24320"/>
      <w:bookmarkStart w:id="212" w:name="_Toc12087"/>
      <w:bookmarkStart w:id="213" w:name="_Toc25362"/>
      <w:bookmarkStart w:id="214" w:name="_Toc30156"/>
      <w:bookmarkStart w:id="215" w:name="_Toc15908"/>
      <w:bookmarkStart w:id="216" w:name="_Toc1821"/>
      <w:bookmarkStart w:id="217" w:name="_Toc30901"/>
      <w:bookmarkStart w:id="218" w:name="_Toc187"/>
      <w:bookmarkStart w:id="219" w:name="_Toc8805"/>
      <w:bookmarkStart w:id="220" w:name="_Toc9116"/>
      <w:bookmarkStart w:id="221" w:name="_Toc29924"/>
      <w:bookmarkStart w:id="222" w:name="_Toc27561"/>
      <w:bookmarkStart w:id="223" w:name="_Toc23564"/>
      <w:bookmarkStart w:id="224" w:name="_Toc122257617"/>
      <w:bookmarkStart w:id="225" w:name="_Toc122750639"/>
      <w:r>
        <w:rPr>
          <w:rFonts w:hint="eastAsia" w:ascii="黑体" w:hAnsi="黑体" w:eastAsia="黑体" w:cs="黑体"/>
          <w:sz w:val="44"/>
          <w:szCs w:val="44"/>
          <w:highlight w:val="none"/>
        </w:rPr>
        <w:t>第五篇  评审办法</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Start w:id="226" w:name="_Toc508286676"/>
      <w:bookmarkStart w:id="227" w:name="_Toc409439690"/>
    </w:p>
    <w:p>
      <w:pPr>
        <w:spacing w:line="560" w:lineRule="exact"/>
        <w:ind w:firstLine="643" w:firstLineChars="200"/>
        <w:rPr>
          <w:rFonts w:ascii="仿宋_GB2312" w:eastAsia="仿宋_GB2312"/>
          <w:b/>
          <w:sz w:val="32"/>
          <w:szCs w:val="32"/>
          <w:highlight w:val="none"/>
        </w:rPr>
      </w:pPr>
    </w:p>
    <w:p>
      <w:pPr>
        <w:spacing w:line="560" w:lineRule="exact"/>
        <w:ind w:firstLine="643" w:firstLineChars="200"/>
        <w:outlineLvl w:val="0"/>
        <w:rPr>
          <w:rFonts w:ascii="仿宋_GB2312" w:eastAsia="仿宋_GB2312"/>
          <w:b/>
          <w:sz w:val="32"/>
          <w:szCs w:val="32"/>
          <w:highlight w:val="none"/>
        </w:rPr>
      </w:pPr>
      <w:bookmarkStart w:id="228" w:name="_Toc28055"/>
      <w:bookmarkStart w:id="229" w:name="_Toc4305"/>
      <w:bookmarkStart w:id="230" w:name="_Toc16695"/>
      <w:bookmarkStart w:id="231" w:name="_Toc8468"/>
      <w:bookmarkStart w:id="232" w:name="_Toc4306"/>
      <w:bookmarkStart w:id="233" w:name="_Toc15450"/>
      <w:bookmarkStart w:id="234" w:name="_Toc30040"/>
      <w:r>
        <w:rPr>
          <w:rFonts w:hint="eastAsia" w:ascii="仿宋_GB2312" w:eastAsia="仿宋_GB2312"/>
          <w:b/>
          <w:sz w:val="32"/>
          <w:szCs w:val="32"/>
          <w:highlight w:val="none"/>
        </w:rPr>
        <w:t>一、响应文件开封</w:t>
      </w:r>
      <w:bookmarkEnd w:id="228"/>
      <w:bookmarkEnd w:id="229"/>
      <w:bookmarkEnd w:id="230"/>
      <w:bookmarkEnd w:id="231"/>
      <w:bookmarkEnd w:id="232"/>
      <w:bookmarkEnd w:id="233"/>
      <w:bookmarkEnd w:id="234"/>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（一）响应文件开封在询价采购文件中“询价采购公告”确定的时间和地点公开进行。</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（二）询价采购人可以视询价采购具体情况，延长询价采购截止时间和开封时间，但至少应当在询价采购文件要求提交响应文件的截止时间三日前，将变更时间书面通知所有报价供应商。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（三）评审会由询价采购人主持，询价采购人、供应商或有关方面代表参加。</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（四）响应文件开封时，由询价采购方或供应商推选的代表检查响应文件的密封情况，经确认无误后，由询价采购方工作人员当众拆封宣读，宣读供应商名称、正本“报价表”内容，以及其他主要内容并记录。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（五）响应文件开封过程由询价采购人指定专人负责记录，并存档备查。</w:t>
      </w:r>
    </w:p>
    <w:p>
      <w:pPr>
        <w:spacing w:line="560" w:lineRule="exact"/>
        <w:ind w:firstLine="643" w:firstLineChars="200"/>
        <w:outlineLvl w:val="0"/>
        <w:rPr>
          <w:rFonts w:ascii="仿宋_GB2312" w:eastAsia="仿宋_GB2312"/>
          <w:b/>
          <w:sz w:val="32"/>
          <w:szCs w:val="32"/>
          <w:highlight w:val="none"/>
        </w:rPr>
      </w:pPr>
      <w:bookmarkStart w:id="235" w:name="_Toc1053"/>
      <w:bookmarkStart w:id="236" w:name="_Toc1733"/>
      <w:bookmarkStart w:id="237" w:name="_Toc29177"/>
      <w:bookmarkStart w:id="238" w:name="_Toc30567"/>
      <w:bookmarkStart w:id="239" w:name="_Toc22113"/>
      <w:bookmarkStart w:id="240" w:name="_Toc5613"/>
      <w:bookmarkStart w:id="241" w:name="_Toc183"/>
      <w:r>
        <w:rPr>
          <w:rFonts w:hint="eastAsia" w:ascii="仿宋_GB2312" w:eastAsia="仿宋_GB2312"/>
          <w:b/>
          <w:sz w:val="32"/>
          <w:szCs w:val="32"/>
          <w:highlight w:val="none"/>
        </w:rPr>
        <w:t>二、响应文件评审</w:t>
      </w:r>
      <w:bookmarkEnd w:id="235"/>
      <w:bookmarkEnd w:id="236"/>
      <w:bookmarkEnd w:id="237"/>
      <w:bookmarkEnd w:id="238"/>
      <w:bookmarkEnd w:id="239"/>
      <w:bookmarkEnd w:id="240"/>
      <w:bookmarkEnd w:id="241"/>
    </w:p>
    <w:p>
      <w:pPr>
        <w:spacing w:line="560" w:lineRule="exact"/>
        <w:ind w:firstLine="640" w:firstLineChars="200"/>
        <w:outlineLvl w:val="1"/>
        <w:rPr>
          <w:rFonts w:ascii="仿宋_GB2312" w:eastAsia="仿宋_GB2312"/>
          <w:sz w:val="32"/>
          <w:szCs w:val="32"/>
          <w:highlight w:val="none"/>
        </w:rPr>
      </w:pPr>
      <w:bookmarkStart w:id="242" w:name="_Toc12949"/>
      <w:bookmarkStart w:id="243" w:name="_Toc20519"/>
      <w:r>
        <w:rPr>
          <w:rFonts w:hint="eastAsia" w:ascii="仿宋_GB2312" w:eastAsia="仿宋_GB2312"/>
          <w:sz w:val="32"/>
          <w:szCs w:val="32"/>
          <w:highlight w:val="none"/>
        </w:rPr>
        <w:t>（一）评审小组的组成</w:t>
      </w:r>
      <w:bookmarkEnd w:id="242"/>
      <w:bookmarkEnd w:id="243"/>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询价采购人按</w:t>
      </w:r>
      <w:r>
        <w:rPr>
          <w:rFonts w:hint="eastAsia" w:ascii="仿宋_GB2312" w:eastAsia="仿宋_GB2312"/>
          <w:sz w:val="32"/>
          <w:szCs w:val="32"/>
          <w:highlight w:val="none"/>
          <w:lang w:val="en-US" w:eastAsia="zh-CN"/>
        </w:rPr>
        <w:t>相关采购文件</w:t>
      </w:r>
      <w:r>
        <w:rPr>
          <w:rFonts w:hint="eastAsia" w:ascii="仿宋_GB2312" w:eastAsia="仿宋_GB2312"/>
          <w:sz w:val="32"/>
          <w:szCs w:val="32"/>
          <w:highlight w:val="none"/>
        </w:rPr>
        <w:t>的要求并根据询价采购项目特点组成评审小组。</w:t>
      </w:r>
    </w:p>
    <w:p>
      <w:pPr>
        <w:spacing w:line="560" w:lineRule="exact"/>
        <w:ind w:firstLine="640" w:firstLineChars="200"/>
        <w:outlineLvl w:val="1"/>
        <w:rPr>
          <w:rFonts w:ascii="仿宋_GB2312" w:eastAsia="仿宋_GB2312"/>
          <w:sz w:val="32"/>
          <w:szCs w:val="32"/>
          <w:highlight w:val="none"/>
        </w:rPr>
      </w:pPr>
      <w:bookmarkStart w:id="244" w:name="_Toc18395"/>
      <w:bookmarkStart w:id="245" w:name="_Toc304"/>
      <w:r>
        <w:rPr>
          <w:rFonts w:hint="eastAsia" w:ascii="仿宋_GB2312" w:eastAsia="仿宋_GB2312"/>
          <w:sz w:val="32"/>
          <w:szCs w:val="32"/>
          <w:highlight w:val="none"/>
        </w:rPr>
        <w:t>（二）评审方法和依据</w:t>
      </w:r>
      <w:bookmarkEnd w:id="244"/>
      <w:bookmarkEnd w:id="245"/>
    </w:p>
    <w:p>
      <w:pPr>
        <w:spacing w:line="560" w:lineRule="exact"/>
        <w:ind w:firstLine="640" w:firstLineChars="200"/>
        <w:outlineLvl w:val="2"/>
        <w:rPr>
          <w:rFonts w:ascii="仿宋_GB2312" w:eastAsia="仿宋_GB2312"/>
          <w:sz w:val="32"/>
          <w:szCs w:val="32"/>
          <w:highlight w:val="none"/>
        </w:rPr>
      </w:pPr>
      <w:bookmarkStart w:id="246" w:name="_Toc23432"/>
      <w:r>
        <w:rPr>
          <w:rFonts w:hint="eastAsia" w:ascii="仿宋_GB2312" w:eastAsia="仿宋_GB2312"/>
          <w:sz w:val="32"/>
          <w:szCs w:val="32"/>
          <w:highlight w:val="none"/>
        </w:rPr>
        <w:t>1.评审办法：</w:t>
      </w:r>
      <w:bookmarkEnd w:id="246"/>
      <w:r>
        <w:rPr>
          <w:rFonts w:hint="eastAsia" w:ascii="仿宋_GB2312" w:eastAsia="仿宋_GB2312"/>
          <w:sz w:val="32"/>
          <w:szCs w:val="32"/>
          <w:highlight w:val="none"/>
        </w:rPr>
        <w:t xml:space="preserve"> </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评审小组从质量和服务均能满足询价采购文件实质性响应要求的供应商中，按照报价总价由低到高的顺序不多于3名成交候选人，并编写评审报告。</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询价采购人从评审报告推荐的成交候选人中，根据质量和服务均能满足询价采购文件实质性响应要求且报价最低的原则确定成交人。</w:t>
      </w:r>
    </w:p>
    <w:p>
      <w:pPr>
        <w:spacing w:line="560" w:lineRule="exact"/>
        <w:ind w:firstLine="640" w:firstLineChars="200"/>
        <w:outlineLvl w:val="2"/>
        <w:rPr>
          <w:rFonts w:ascii="仿宋_GB2312" w:eastAsia="仿宋_GB2312"/>
          <w:sz w:val="32"/>
          <w:szCs w:val="32"/>
          <w:highlight w:val="none"/>
        </w:rPr>
      </w:pPr>
      <w:bookmarkStart w:id="247" w:name="_Toc9817"/>
      <w:r>
        <w:rPr>
          <w:rFonts w:hint="eastAsia" w:ascii="仿宋_GB2312" w:eastAsia="仿宋_GB2312"/>
          <w:sz w:val="32"/>
          <w:szCs w:val="32"/>
          <w:highlight w:val="none"/>
        </w:rPr>
        <w:t>2.评审依据：</w:t>
      </w:r>
      <w:bookmarkEnd w:id="247"/>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评审的依据为询价采购文件（含有效的补充文件），评审小组判断供应商对询价采购文件的响应仅基于响应文件本身而不靠外部证据。</w:t>
      </w:r>
    </w:p>
    <w:p>
      <w:pPr>
        <w:spacing w:line="560" w:lineRule="exact"/>
        <w:ind w:firstLine="640" w:firstLineChars="200"/>
        <w:outlineLvl w:val="2"/>
        <w:rPr>
          <w:rFonts w:ascii="仿宋_GB2312" w:eastAsia="仿宋_GB2312"/>
          <w:sz w:val="32"/>
          <w:szCs w:val="32"/>
          <w:highlight w:val="none"/>
        </w:rPr>
      </w:pPr>
      <w:bookmarkStart w:id="248" w:name="_Toc4555"/>
      <w:r>
        <w:rPr>
          <w:rFonts w:hint="eastAsia" w:ascii="仿宋_GB2312" w:eastAsia="仿宋_GB2312"/>
          <w:sz w:val="32"/>
          <w:szCs w:val="32"/>
          <w:highlight w:val="none"/>
        </w:rPr>
        <w:t>3.评审原则：</w:t>
      </w:r>
      <w:bookmarkEnd w:id="248"/>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（1）对所有有效报价的评价，都采用相同的程序和标准。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（2）评审严格按照询价采购文件的要求和条件进行。</w:t>
      </w:r>
    </w:p>
    <w:p>
      <w:pPr>
        <w:spacing w:line="560" w:lineRule="exact"/>
        <w:ind w:firstLine="640" w:firstLineChars="200"/>
        <w:outlineLvl w:val="2"/>
        <w:rPr>
          <w:rFonts w:ascii="仿宋_GB2312" w:eastAsia="仿宋_GB2312"/>
          <w:sz w:val="32"/>
          <w:szCs w:val="32"/>
          <w:highlight w:val="none"/>
        </w:rPr>
      </w:pPr>
      <w:bookmarkStart w:id="249" w:name="_Toc4980"/>
      <w:r>
        <w:rPr>
          <w:rFonts w:hint="eastAsia" w:ascii="仿宋_GB2312" w:eastAsia="仿宋_GB2312"/>
          <w:sz w:val="32"/>
          <w:szCs w:val="32"/>
          <w:highlight w:val="none"/>
        </w:rPr>
        <w:t>4.评审程序</w:t>
      </w:r>
      <w:bookmarkEnd w:id="249"/>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（1）根据《询价采购文件》的要求和规定，评审小组首先对各供应商的《响应文件》进行初审。</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初审分资格性检查和符合性检查：资格性检查是依据法律法规和询价采购文件的规定，对响应文件中的资格证明等进行审查，以确定供应商是否具备报价资格；符合性检查是依据询价采购文件的规定，从响应文件的有效性、完整性和对询价采购文件的响应程度进行审查，以确定供应商是否对询价采购文件的实质性要求作出响应。</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澄清有关问题。为了有助于对响应文件进行审查、评估和比较，评审小组可以对响应文件中含义不明确、同类问题表述不一致或者有明显文字和计算错误的内容向供应商质疑，要求供应商作出必要的澄清、说明或纠正。供应商的澄清、说明或者补正应当采用书面形式，由其授权代表签字，并不得超出响应文件的范围或者改变响应文件的实质性内容。书面承诺为其响应文件的组成部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（3）比较与评价。评审小组对初审合格的响应文件按照询价采购文件中规定的评审方法和标准进行综合比较和评价。</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（4）评审小组根据确定的评审方法和标准进行比较、排序，推荐出成交候选人。</w:t>
      </w:r>
    </w:p>
    <w:p>
      <w:pPr>
        <w:spacing w:line="560" w:lineRule="exact"/>
        <w:ind w:firstLine="643" w:firstLineChars="200"/>
        <w:outlineLvl w:val="0"/>
        <w:rPr>
          <w:rFonts w:ascii="仿宋_GB2312" w:eastAsia="仿宋_GB2312"/>
          <w:b/>
          <w:sz w:val="32"/>
          <w:szCs w:val="32"/>
          <w:highlight w:val="none"/>
        </w:rPr>
      </w:pPr>
      <w:bookmarkStart w:id="250" w:name="_Toc4340"/>
      <w:bookmarkStart w:id="251" w:name="_Toc30670"/>
      <w:bookmarkStart w:id="252" w:name="_Toc17835"/>
      <w:bookmarkStart w:id="253" w:name="_Toc23338"/>
      <w:bookmarkStart w:id="254" w:name="_Toc2929"/>
      <w:bookmarkStart w:id="255" w:name="_Toc21252"/>
      <w:bookmarkStart w:id="256" w:name="_Toc28192"/>
      <w:r>
        <w:rPr>
          <w:rFonts w:hint="eastAsia" w:ascii="仿宋_GB2312" w:eastAsia="仿宋_GB2312"/>
          <w:b/>
          <w:sz w:val="32"/>
          <w:szCs w:val="32"/>
          <w:highlight w:val="none"/>
        </w:rPr>
        <w:t>三、成交原则</w:t>
      </w:r>
      <w:bookmarkEnd w:id="250"/>
      <w:bookmarkEnd w:id="251"/>
      <w:bookmarkEnd w:id="252"/>
      <w:bookmarkEnd w:id="253"/>
      <w:bookmarkEnd w:id="254"/>
      <w:bookmarkEnd w:id="255"/>
      <w:bookmarkEnd w:id="256"/>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询价采购人（或其授权的评审小组）按照评审报告中推荐的供应商排名顺序确定排名第一的候选人为成交供应商。排名第一的成交供应商放弃成交或因不可抗力不能履行合同的，询价采购人应当确定排名第二的候选人为成交供应商。排名第二的成交供应商因前述原因不能签订合同的，询价采购人应当确定排名第三的候选人为成交供应商。排名前三名的成交供应商均不能签订合同的，则进行重新询价采购。</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（二）如果经审查或公示期内有异议确定该成交供应商无条件圆满履行合同，询价采购人将对排位其后第一位的成交供应商作出类似的审查和公示。询价采购结果公示于</w:t>
      </w:r>
      <w:r>
        <w:rPr>
          <w:rFonts w:hint="eastAsia" w:ascii="仿宋_GB2312" w:eastAsia="仿宋_GB2312"/>
          <w:sz w:val="32"/>
          <w:szCs w:val="32"/>
          <w:highlight w:val="none"/>
          <w:lang w:eastAsia="zh-CN"/>
        </w:rPr>
        <w:t>福路通资源循环（福建）集团有限公司</w:t>
      </w:r>
      <w:r>
        <w:rPr>
          <w:rFonts w:hint="eastAsia" w:ascii="仿宋_GB2312" w:eastAsia="仿宋_GB2312"/>
          <w:sz w:val="32"/>
          <w:szCs w:val="32"/>
          <w:highlight w:val="none"/>
        </w:rPr>
        <w:t>公示栏及福建省高速公路集团有限公司网站（www.fjgsgl.com）。</w:t>
      </w:r>
    </w:p>
    <w:p>
      <w:pPr>
        <w:spacing w:line="560" w:lineRule="exact"/>
        <w:ind w:firstLine="640" w:firstLineChars="200"/>
        <w:rPr>
          <w:rFonts w:ascii="仿宋_GB2312" w:eastAsia="仿宋_GB2312"/>
          <w:sz w:val="32"/>
          <w:szCs w:val="32"/>
          <w:highlight w:val="none"/>
        </w:rPr>
      </w:pPr>
      <w:bookmarkStart w:id="257" w:name="_Toc4547"/>
      <w:bookmarkStart w:id="258" w:name="_Toc20855"/>
      <w:r>
        <w:rPr>
          <w:rFonts w:hint="eastAsia" w:ascii="仿宋_GB2312" w:eastAsia="仿宋_GB2312"/>
          <w:sz w:val="32"/>
          <w:szCs w:val="32"/>
          <w:highlight w:val="none"/>
        </w:rPr>
        <w:t>（三）成交通知书</w:t>
      </w:r>
      <w:bookmarkEnd w:id="257"/>
      <w:bookmarkEnd w:id="258"/>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1.询价采购有效期内，询价采购人将以书面形式向成交供应商发出《成交通知书》。《成交通知书》发出后，询价采购人改变成交结果，或者成交供应商放弃成交，应当承担相应的法律责任。</w:t>
      </w:r>
    </w:p>
    <w:p>
      <w:pPr>
        <w:spacing w:line="560" w:lineRule="exact"/>
        <w:ind w:firstLine="640" w:firstLineChars="200"/>
        <w:rPr>
          <w:rFonts w:ascii="仿宋_GB2312" w:eastAsia="仿宋_GB2312"/>
          <w:sz w:val="32"/>
          <w:szCs w:val="32"/>
          <w:highlight w:val="none"/>
        </w:rPr>
      </w:pPr>
      <w:bookmarkStart w:id="259" w:name="_Toc17503"/>
      <w:r>
        <w:rPr>
          <w:rFonts w:hint="eastAsia" w:ascii="仿宋_GB2312" w:eastAsia="仿宋_GB2312"/>
          <w:sz w:val="32"/>
          <w:szCs w:val="32"/>
          <w:highlight w:val="none"/>
        </w:rPr>
        <w:t>2.《成交通知书》是签订合同的书面依据。</w:t>
      </w:r>
      <w:bookmarkEnd w:id="259"/>
    </w:p>
    <w:p>
      <w:pPr>
        <w:spacing w:line="560" w:lineRule="exact"/>
        <w:ind w:firstLine="640" w:firstLineChars="200"/>
        <w:rPr>
          <w:rFonts w:ascii="仿宋_GB2312" w:eastAsia="仿宋_GB2312"/>
          <w:sz w:val="32"/>
          <w:szCs w:val="32"/>
          <w:highlight w:val="none"/>
        </w:rPr>
      </w:pPr>
      <w:bookmarkStart w:id="260" w:name="_Toc19368"/>
      <w:bookmarkStart w:id="261" w:name="_Toc27263"/>
      <w:r>
        <w:rPr>
          <w:rFonts w:hint="eastAsia" w:ascii="仿宋_GB2312" w:eastAsia="仿宋_GB2312"/>
          <w:sz w:val="32"/>
          <w:szCs w:val="32"/>
          <w:highlight w:val="none"/>
        </w:rPr>
        <w:t>（四）签订合同时变更数量的权利</w:t>
      </w:r>
      <w:bookmarkEnd w:id="260"/>
      <w:bookmarkEnd w:id="261"/>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根据需要，询价采购人有权提出对询价采购货物作局部调整，但不得对询价采购文件和成交供应商的响应文件作实质性更改，并应经甲乙双方共同认定。</w:t>
      </w:r>
    </w:p>
    <w:p>
      <w:pPr>
        <w:spacing w:line="560" w:lineRule="exact"/>
        <w:ind w:firstLine="643" w:firstLineChars="200"/>
        <w:outlineLvl w:val="0"/>
        <w:rPr>
          <w:rFonts w:ascii="仿宋_GB2312" w:eastAsia="仿宋_GB2312"/>
          <w:b/>
          <w:sz w:val="32"/>
          <w:szCs w:val="32"/>
          <w:highlight w:val="none"/>
        </w:rPr>
      </w:pPr>
      <w:bookmarkStart w:id="262" w:name="_Toc18121"/>
      <w:bookmarkStart w:id="263" w:name="_Toc21043"/>
      <w:bookmarkStart w:id="264" w:name="_Toc31501"/>
      <w:bookmarkStart w:id="265" w:name="_Toc9077"/>
      <w:bookmarkStart w:id="266" w:name="_Toc23495"/>
      <w:bookmarkStart w:id="267" w:name="_Toc1935"/>
      <w:bookmarkStart w:id="268" w:name="_Toc18533"/>
      <w:r>
        <w:rPr>
          <w:rFonts w:hint="eastAsia" w:ascii="仿宋_GB2312" w:eastAsia="仿宋_GB2312"/>
          <w:b/>
          <w:sz w:val="32"/>
          <w:szCs w:val="32"/>
          <w:highlight w:val="none"/>
        </w:rPr>
        <w:t>四、签订合同</w:t>
      </w:r>
      <w:bookmarkEnd w:id="262"/>
      <w:bookmarkEnd w:id="263"/>
      <w:bookmarkEnd w:id="264"/>
      <w:bookmarkEnd w:id="265"/>
      <w:bookmarkEnd w:id="266"/>
      <w:bookmarkEnd w:id="267"/>
      <w:bookmarkEnd w:id="268"/>
    </w:p>
    <w:p>
      <w:pPr>
        <w:spacing w:line="560" w:lineRule="exact"/>
        <w:ind w:firstLine="640" w:firstLineChars="200"/>
        <w:outlineLvl w:val="1"/>
        <w:rPr>
          <w:rFonts w:ascii="仿宋_GB2312" w:eastAsia="仿宋_GB2312"/>
          <w:sz w:val="32"/>
          <w:szCs w:val="32"/>
          <w:highlight w:val="none"/>
        </w:rPr>
      </w:pPr>
      <w:bookmarkStart w:id="269" w:name="_Toc18542"/>
      <w:bookmarkStart w:id="270" w:name="_Toc4366"/>
      <w:r>
        <w:rPr>
          <w:rFonts w:hint="eastAsia" w:ascii="仿宋_GB2312" w:eastAsia="仿宋_GB2312"/>
          <w:sz w:val="32"/>
          <w:szCs w:val="32"/>
          <w:highlight w:val="none"/>
        </w:rPr>
        <w:t>（一）签约</w:t>
      </w:r>
      <w:bookmarkEnd w:id="269"/>
      <w:bookmarkEnd w:id="270"/>
    </w:p>
    <w:p>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1.成交供应商按《成交通知书》指定的时间、地点与询价采购人签订合同。</w:t>
      </w:r>
      <w:r>
        <w:rPr>
          <w:rFonts w:hint="eastAsia" w:ascii="仿宋_GB2312" w:eastAsia="仿宋_GB2312"/>
          <w:sz w:val="32"/>
          <w:szCs w:val="32"/>
          <w:highlight w:val="none"/>
          <w:lang w:val="en-US" w:eastAsia="zh-CN"/>
        </w:rPr>
        <w:t>成交供应商拒绝签订合同的，采购人有权没收其响应保证金，并列入不良记录名单中。</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2.询价采购文件、成交供应商的响应文件及澄清文件等，均为签订询价采购合同的依据，所签订的合同不得对询价采购文件和成交供应商的响应文件作实质性修改。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3.中标方</w:t>
      </w:r>
      <w:r>
        <w:rPr>
          <w:rFonts w:hint="eastAsia" w:ascii="仿宋_GB2312" w:eastAsia="仿宋_GB2312"/>
          <w:sz w:val="32"/>
          <w:szCs w:val="32"/>
          <w:highlight w:val="none"/>
          <w:lang w:val="en-US" w:eastAsia="zh-CN"/>
        </w:rPr>
        <w:t>响应</w:t>
      </w:r>
      <w:r>
        <w:rPr>
          <w:rFonts w:hint="eastAsia" w:ascii="仿宋_GB2312" w:eastAsia="仿宋_GB2312"/>
          <w:sz w:val="32"/>
          <w:szCs w:val="32"/>
          <w:highlight w:val="none"/>
        </w:rPr>
        <w:t>竞价保证金</w:t>
      </w:r>
      <w:r>
        <w:rPr>
          <w:rFonts w:hint="eastAsia" w:ascii="仿宋_GB2312" w:eastAsia="仿宋_GB2312"/>
          <w:sz w:val="32"/>
          <w:szCs w:val="32"/>
          <w:highlight w:val="none"/>
          <w:lang w:val="en-US" w:eastAsia="zh-CN"/>
        </w:rPr>
        <w:t>捌</w:t>
      </w:r>
      <w:r>
        <w:rPr>
          <w:rFonts w:hint="eastAsia" w:ascii="仿宋_GB2312" w:eastAsia="仿宋_GB2312"/>
          <w:sz w:val="32"/>
          <w:szCs w:val="32"/>
          <w:highlight w:val="none"/>
        </w:rPr>
        <w:t>万元整自动转为履约保证金，合同履行完成后</w:t>
      </w:r>
      <w:r>
        <w:rPr>
          <w:rFonts w:hint="eastAsia" w:ascii="仿宋_GB2312" w:eastAsia="仿宋_GB2312"/>
          <w:sz w:val="32"/>
          <w:szCs w:val="32"/>
          <w:highlight w:val="none"/>
          <w:lang w:val="en-US" w:eastAsia="zh-CN"/>
        </w:rPr>
        <w:t>且中标方无违约行为的，</w:t>
      </w:r>
      <w:r>
        <w:rPr>
          <w:rFonts w:hint="eastAsia" w:ascii="仿宋_GB2312" w:eastAsia="仿宋_GB2312"/>
          <w:sz w:val="32"/>
          <w:szCs w:val="32"/>
          <w:highlight w:val="none"/>
        </w:rPr>
        <w:t>无息退还。</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4.合同生效条款由甲乙双方约定，法律、行政法规规定应当办理批准、登记等手续后生效的合同，依照其规定。</w:t>
      </w:r>
    </w:p>
    <w:bookmarkEnd w:id="224"/>
    <w:bookmarkEnd w:id="225"/>
    <w:bookmarkEnd w:id="226"/>
    <w:bookmarkEnd w:id="227"/>
    <w:p>
      <w:pPr>
        <w:spacing w:line="560" w:lineRule="exact"/>
        <w:ind w:firstLine="640" w:firstLineChars="200"/>
        <w:rPr>
          <w:rFonts w:ascii="仿宋_GB2312" w:eastAsia="仿宋_GB2312"/>
          <w:sz w:val="32"/>
          <w:szCs w:val="32"/>
          <w:highlight w:val="none"/>
        </w:rPr>
      </w:pPr>
      <w:bookmarkStart w:id="271" w:name="_Toc122257621"/>
      <w:bookmarkStart w:id="272" w:name="_Toc122750647"/>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rPr>
          <w:highlight w:val="none"/>
        </w:rPr>
      </w:pPr>
      <w:bookmarkStart w:id="273" w:name="_Toc534883407"/>
      <w:bookmarkStart w:id="274" w:name="_Toc534883365"/>
    </w:p>
    <w:p>
      <w:pPr>
        <w:pageBreakBefore/>
        <w:spacing w:line="560" w:lineRule="atLeast"/>
        <w:jc w:val="center"/>
        <w:outlineLvl w:val="0"/>
        <w:rPr>
          <w:rFonts w:hint="eastAsia" w:ascii="黑体" w:hAnsi="黑体" w:eastAsia="黑体" w:cs="黑体"/>
          <w:sz w:val="44"/>
          <w:szCs w:val="44"/>
          <w:highlight w:val="none"/>
        </w:rPr>
      </w:pPr>
      <w:bookmarkStart w:id="275" w:name="_Toc17366"/>
      <w:bookmarkStart w:id="276" w:name="_Toc18553"/>
      <w:bookmarkStart w:id="277" w:name="_Toc20180"/>
      <w:bookmarkStart w:id="278" w:name="_Toc19353"/>
      <w:bookmarkStart w:id="279" w:name="_Toc32007"/>
      <w:bookmarkStart w:id="280" w:name="_Toc18537"/>
      <w:bookmarkStart w:id="281" w:name="_Toc26828"/>
      <w:bookmarkStart w:id="282" w:name="_Toc3466"/>
      <w:bookmarkStart w:id="283" w:name="_Toc13390"/>
      <w:bookmarkStart w:id="284" w:name="_Toc21200"/>
      <w:bookmarkStart w:id="285" w:name="_Toc10919"/>
      <w:bookmarkStart w:id="286" w:name="_Toc32179"/>
      <w:r>
        <w:rPr>
          <w:rFonts w:hint="eastAsia" w:ascii="黑体" w:hAnsi="黑体" w:eastAsia="黑体" w:cs="黑体"/>
          <w:sz w:val="44"/>
          <w:szCs w:val="44"/>
          <w:highlight w:val="none"/>
        </w:rPr>
        <w:t>第六篇  合同主要条款、合同</w:t>
      </w:r>
      <w:bookmarkEnd w:id="271"/>
      <w:r>
        <w:rPr>
          <w:rFonts w:hint="eastAsia" w:ascii="黑体" w:hAnsi="黑体" w:eastAsia="黑体" w:cs="黑体"/>
          <w:sz w:val="44"/>
          <w:szCs w:val="44"/>
          <w:highlight w:val="none"/>
        </w:rPr>
        <w:t>格式</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spacing w:line="560" w:lineRule="atLeast"/>
        <w:jc w:val="center"/>
        <w:rPr>
          <w:rFonts w:ascii="仿宋_GB2312" w:hAnsi="仿宋_GB2312" w:eastAsia="仿宋_GB2312" w:cs="仿宋_GB2312"/>
          <w:b/>
          <w:sz w:val="32"/>
          <w:szCs w:val="32"/>
          <w:highlight w:val="none"/>
        </w:rPr>
      </w:pPr>
      <w:bookmarkStart w:id="287" w:name="_Toc508286681"/>
    </w:p>
    <w:p>
      <w:pPr>
        <w:keepNext w:val="0"/>
        <w:keepLines w:val="0"/>
        <w:pageBreakBefore w:val="0"/>
        <w:kinsoku/>
        <w:wordWrap/>
        <w:overflowPunct/>
        <w:topLinePunct w:val="0"/>
        <w:autoSpaceDE/>
        <w:autoSpaceDN/>
        <w:bidi w:val="0"/>
        <w:adjustRightInd/>
        <w:spacing w:line="560" w:lineRule="exact"/>
        <w:jc w:val="center"/>
        <w:outlineLvl w:val="0"/>
        <w:rPr>
          <w:rFonts w:ascii="仿宋_GB2312" w:hAnsi="仿宋_GB2312" w:eastAsia="仿宋_GB2312" w:cs="仿宋_GB2312"/>
          <w:b/>
          <w:sz w:val="44"/>
          <w:szCs w:val="44"/>
          <w:highlight w:val="none"/>
        </w:rPr>
      </w:pPr>
      <w:bookmarkStart w:id="288" w:name="_Toc27722"/>
      <w:bookmarkStart w:id="289" w:name="_Toc27803"/>
      <w:bookmarkStart w:id="290" w:name="_Toc15058"/>
      <w:bookmarkStart w:id="291" w:name="_Toc12202"/>
      <w:bookmarkStart w:id="292" w:name="_Toc7977"/>
      <w:bookmarkStart w:id="293" w:name="_Toc32687"/>
      <w:bookmarkStart w:id="294" w:name="_Toc5671"/>
      <w:r>
        <w:rPr>
          <w:rFonts w:hint="eastAsia" w:ascii="仿宋_GB2312" w:hAnsi="仿宋_GB2312" w:eastAsia="仿宋_GB2312" w:cs="仿宋_GB2312"/>
          <w:b/>
          <w:sz w:val="44"/>
          <w:szCs w:val="44"/>
          <w:highlight w:val="none"/>
          <w:lang w:eastAsia="zh-CN"/>
        </w:rPr>
        <w:t>宁德地区旋转桶式活动护栏原材料采购</w:t>
      </w:r>
      <w:r>
        <w:rPr>
          <w:rFonts w:hint="eastAsia" w:ascii="仿宋_GB2312" w:hAnsi="仿宋_GB2312" w:eastAsia="仿宋_GB2312" w:cs="仿宋_GB2312"/>
          <w:b/>
          <w:sz w:val="44"/>
          <w:szCs w:val="44"/>
          <w:highlight w:val="none"/>
        </w:rPr>
        <w:t>合同</w:t>
      </w:r>
      <w:bookmarkEnd w:id="288"/>
      <w:bookmarkEnd w:id="289"/>
      <w:bookmarkEnd w:id="290"/>
      <w:bookmarkEnd w:id="291"/>
      <w:bookmarkEnd w:id="292"/>
      <w:bookmarkEnd w:id="293"/>
      <w:bookmarkEnd w:id="294"/>
    </w:p>
    <w:p>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pacing w:line="56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合同编号：        </w:t>
      </w:r>
    </w:p>
    <w:p>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eastAsia="zh-CN"/>
        </w:rPr>
        <w:t>福路通资源循环（福建）集团有限公司</w:t>
      </w:r>
      <w:r>
        <w:rPr>
          <w:rFonts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（发包人名称，以下简称“甲方”）为</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lang w:eastAsia="zh-CN"/>
        </w:rPr>
        <w:t>宁德地区旋转桶式活动护栏原材料</w:t>
      </w:r>
      <w:r>
        <w:rPr>
          <w:rFonts w:hint="eastAsia" w:ascii="仿宋_GB2312" w:hAnsi="仿宋_GB2312" w:eastAsia="仿宋_GB2312" w:cs="仿宋_GB2312"/>
          <w:sz w:val="32"/>
          <w:szCs w:val="32"/>
          <w:highlight w:val="none"/>
        </w:rPr>
        <w:t>，已接受（承包人名称，以下简称“乙方”）对该项目的响应文件。甲乙双方本着平等互利、自愿合作的原则，经友好协商，根据《合同法》及相关法律法规的规定，达成如下协议，以资共同遵守。</w:t>
      </w:r>
    </w:p>
    <w:p>
      <w:pPr>
        <w:keepNext w:val="0"/>
        <w:keepLines w:val="0"/>
        <w:pageBreakBefore w:val="0"/>
        <w:kinsoku/>
        <w:wordWrap/>
        <w:overflowPunct/>
        <w:topLinePunct w:val="0"/>
        <w:autoSpaceDE/>
        <w:autoSpaceDN/>
        <w:bidi w:val="0"/>
        <w:adjustRightInd/>
        <w:spacing w:line="56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一、根据甲方委托，乙方提供</w:t>
      </w:r>
      <w:r>
        <w:rPr>
          <w:rFonts w:hint="eastAsia" w:ascii="仿宋_GB2312" w:hAnsi="仿宋_GB2312" w:eastAsia="仿宋_GB2312" w:cs="仿宋_GB2312"/>
          <w:b/>
          <w:bCs/>
          <w:sz w:val="32"/>
          <w:szCs w:val="32"/>
          <w:highlight w:val="none"/>
          <w:lang w:eastAsia="zh-CN"/>
        </w:rPr>
        <w:t>旋转桶式活动护栏原材料</w:t>
      </w:r>
      <w:r>
        <w:rPr>
          <w:rFonts w:hint="eastAsia" w:ascii="仿宋_GB2312" w:hAnsi="仿宋_GB2312" w:eastAsia="仿宋_GB2312" w:cs="仿宋_GB2312"/>
          <w:b/>
          <w:bCs/>
          <w:sz w:val="32"/>
          <w:szCs w:val="32"/>
          <w:highlight w:val="none"/>
          <w:lang w:val="en-US" w:eastAsia="zh-CN"/>
        </w:rPr>
        <w:t>包含横梁、立柱、套筒、万向轮、端头等（除滚筒）</w:t>
      </w:r>
      <w:r>
        <w:rPr>
          <w:rFonts w:hint="eastAsia" w:ascii="仿宋_GB2312" w:hAnsi="仿宋_GB2312" w:eastAsia="仿宋_GB2312" w:cs="仿宋_GB2312"/>
          <w:b/>
          <w:bCs/>
          <w:sz w:val="32"/>
          <w:szCs w:val="32"/>
          <w:highlight w:val="none"/>
        </w:rPr>
        <w:t>。项目地点</w:t>
      </w:r>
      <w:r>
        <w:rPr>
          <w:rFonts w:hint="eastAsia" w:ascii="仿宋_GB2312" w:hAnsi="仿宋_GB2312" w:eastAsia="仿宋_GB2312" w:cs="仿宋_GB2312"/>
          <w:b/>
          <w:bCs/>
          <w:sz w:val="32"/>
          <w:szCs w:val="32"/>
          <w:highlight w:val="none"/>
          <w:lang w:val="en-US" w:eastAsia="zh-CN"/>
        </w:rPr>
        <w:t>为宁德地区高速路段</w:t>
      </w:r>
      <w:r>
        <w:rPr>
          <w:rFonts w:hint="eastAsia" w:ascii="仿宋_GB2312" w:hAnsi="仿宋_GB2312" w:eastAsia="仿宋_GB2312" w:cs="仿宋_GB2312"/>
          <w:b/>
          <w:bCs/>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rPr>
      </w:pPr>
      <w:bookmarkStart w:id="295" w:name="_Toc11763"/>
      <w:r>
        <w:rPr>
          <w:rFonts w:hint="eastAsia" w:ascii="仿宋_GB2312" w:hAnsi="仿宋_GB2312" w:eastAsia="仿宋_GB2312" w:cs="仿宋_GB2312"/>
          <w:b/>
          <w:bCs/>
          <w:sz w:val="32"/>
          <w:szCs w:val="32"/>
          <w:highlight w:val="none"/>
        </w:rPr>
        <w:t>二、下列文件应视为构成合同文件的组成部分：</w:t>
      </w:r>
      <w:bookmarkEnd w:id="295"/>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（1）本协议书及各种合同附件（含评标期间和合同谈判过程中的澄清文件和补充资料）；</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（2）中选通知书；</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（3）投标函（文件）及投标函（文件）附录；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（4）承包人有关人员、设备投入的承诺；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（5）其他合同文件。上述合同文件互相补充和解释。如果合同文件之间存在矛盾或不一致之处，以上述文件的排列顺序在先者为准。</w:t>
      </w:r>
    </w:p>
    <w:p>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中华人民共和国民法典</w:t>
      </w:r>
      <w:r>
        <w:rPr>
          <w:rFonts w:hint="eastAsia" w:ascii="仿宋_GB2312" w:hAnsi="仿宋_GB2312" w:eastAsia="仿宋_GB2312" w:cs="仿宋_GB2312"/>
          <w:sz w:val="32"/>
          <w:szCs w:val="32"/>
          <w:highlight w:val="none"/>
        </w:rPr>
        <w:t>》的有关规定，经甲乙双方协商，甲方同意由乙方提供</w:t>
      </w:r>
      <w:r>
        <w:rPr>
          <w:rFonts w:hint="eastAsia" w:ascii="仿宋_GB2312" w:hAnsi="仿宋_GB2312" w:eastAsia="仿宋_GB2312" w:cs="仿宋_GB2312"/>
          <w:sz w:val="32"/>
          <w:szCs w:val="32"/>
          <w:highlight w:val="none"/>
          <w:lang w:eastAsia="zh-CN"/>
        </w:rPr>
        <w:t>宁德地区旋转桶式活动护栏原材料</w:t>
      </w:r>
      <w:r>
        <w:rPr>
          <w:rFonts w:hint="eastAsia" w:ascii="仿宋_GB2312" w:hAnsi="仿宋_GB2312" w:eastAsia="仿宋_GB2312" w:cs="仿宋_GB2312"/>
          <w:sz w:val="32"/>
          <w:szCs w:val="32"/>
          <w:highlight w:val="none"/>
          <w:lang w:val="en-US" w:eastAsia="zh-CN"/>
        </w:rPr>
        <w:t>，并将原材料拼装成除滚桶外的成品并运输至宁德古田</w:t>
      </w:r>
      <w:r>
        <w:rPr>
          <w:rFonts w:hint="eastAsia" w:ascii="仿宋_GB2312" w:hAnsi="仿宋_GB2312" w:eastAsia="仿宋_GB2312" w:cs="仿宋_GB2312"/>
          <w:sz w:val="32"/>
          <w:szCs w:val="32"/>
          <w:highlight w:val="none"/>
        </w:rPr>
        <w:t>，为明确双方权利与义务，特签订如下条款，供双方共同遵守。</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rPr>
      </w:pPr>
      <w:bookmarkStart w:id="296" w:name="_Toc12091"/>
      <w:bookmarkStart w:id="297" w:name="_Toc1910"/>
      <w:bookmarkStart w:id="298" w:name="_Toc14213"/>
      <w:bookmarkStart w:id="299" w:name="_Toc18232"/>
      <w:bookmarkStart w:id="300" w:name="_Toc11720"/>
      <w:bookmarkStart w:id="301" w:name="_Toc16793"/>
      <w:bookmarkStart w:id="302" w:name="_Toc25783"/>
      <w:r>
        <w:rPr>
          <w:rFonts w:hint="eastAsia" w:ascii="仿宋_GB2312" w:hAnsi="仿宋_GB2312" w:eastAsia="仿宋_GB2312" w:cs="仿宋_GB2312"/>
          <w:b/>
          <w:bCs/>
          <w:sz w:val="32"/>
          <w:szCs w:val="32"/>
          <w:highlight w:val="none"/>
        </w:rPr>
        <w:t>三、质量要求及技术标准</w:t>
      </w:r>
      <w:bookmarkEnd w:id="296"/>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）旋转桶式活动护栏</w:t>
      </w:r>
      <w:r>
        <w:rPr>
          <w:rFonts w:hint="eastAsia" w:ascii="仿宋_GB2312" w:hAnsi="仿宋_GB2312" w:eastAsia="仿宋_GB2312" w:cs="仿宋_GB2312"/>
          <w:sz w:val="32"/>
          <w:szCs w:val="32"/>
          <w:highlight w:val="none"/>
        </w:rPr>
        <w:t>原材料</w:t>
      </w:r>
      <w:r>
        <w:rPr>
          <w:rFonts w:hint="eastAsia" w:ascii="仿宋_GB2312" w:hAnsi="仿宋_GB2312" w:eastAsia="仿宋_GB2312" w:cs="仿宋_GB2312"/>
          <w:sz w:val="32"/>
          <w:szCs w:val="32"/>
          <w:highlight w:val="none"/>
          <w:lang w:val="en-US" w:eastAsia="zh-CN"/>
        </w:rPr>
        <w:t>主要为钢材，钢材厚度、材质、镀锌应满足图纸要求及国标要求</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护栏</w:t>
      </w:r>
      <w:r>
        <w:rPr>
          <w:rFonts w:hint="eastAsia" w:ascii="仿宋_GB2312" w:hAnsi="仿宋_GB2312" w:eastAsia="仿宋_GB2312" w:cs="仿宋_GB2312"/>
          <w:sz w:val="32"/>
          <w:szCs w:val="32"/>
          <w:highlight w:val="none"/>
          <w:lang w:val="en-US" w:eastAsia="zh-CN"/>
        </w:rPr>
        <w:t>原材料</w:t>
      </w:r>
      <w:r>
        <w:rPr>
          <w:rFonts w:hint="eastAsia" w:ascii="仿宋_GB2312" w:hAnsi="仿宋_GB2312" w:eastAsia="仿宋_GB2312" w:cs="仿宋_GB2312"/>
          <w:sz w:val="32"/>
          <w:szCs w:val="32"/>
          <w:highlight w:val="none"/>
        </w:rPr>
        <w:t>产品试验检测报告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产品合格证</w:t>
      </w:r>
      <w:r>
        <w:rPr>
          <w:rFonts w:hint="eastAsia" w:ascii="仿宋_GB2312" w:hAnsi="仿宋_GB2312" w:eastAsia="仿宋_GB2312" w:cs="仿宋_GB2312"/>
          <w:sz w:val="32"/>
          <w:szCs w:val="32"/>
          <w:highlight w:val="none"/>
        </w:rPr>
        <w:t>中应附有试验护栏材料性能试验</w:t>
      </w:r>
      <w:r>
        <w:rPr>
          <w:rFonts w:hint="eastAsia" w:ascii="仿宋_GB2312" w:hAnsi="仿宋_GB2312" w:eastAsia="仿宋_GB2312" w:cs="仿宋_GB2312"/>
          <w:sz w:val="32"/>
          <w:szCs w:val="32"/>
          <w:highlight w:val="none"/>
          <w:lang w:val="en-US" w:eastAsia="zh-CN"/>
        </w:rPr>
        <w:t>结果</w:t>
      </w:r>
      <w:r>
        <w:rPr>
          <w:rFonts w:hint="eastAsia" w:ascii="仿宋_GB2312" w:hAnsi="仿宋_GB2312" w:eastAsia="仿宋_GB2312" w:cs="仿宋_GB2312"/>
          <w:sz w:val="32"/>
          <w:szCs w:val="32"/>
          <w:highlight w:val="none"/>
        </w:rPr>
        <w:t>，以便于施工时进行护栏产品质量检测</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）旋转桶式活动护栏、</w:t>
      </w:r>
      <w:r>
        <w:rPr>
          <w:rFonts w:hint="eastAsia" w:ascii="仿宋_GB2312" w:hAnsi="仿宋_GB2312" w:eastAsia="仿宋_GB2312" w:cs="仿宋_GB2312"/>
          <w:sz w:val="32"/>
          <w:szCs w:val="32"/>
          <w:highlight w:val="none"/>
          <w:lang w:val="en-US" w:eastAsia="zh-CN"/>
        </w:rPr>
        <w:t>标准段、</w:t>
      </w:r>
      <w:r>
        <w:rPr>
          <w:rFonts w:hint="eastAsia" w:ascii="仿宋_GB2312" w:hAnsi="仿宋_GB2312" w:eastAsia="仿宋_GB2312" w:cs="仿宋_GB2312"/>
          <w:sz w:val="32"/>
          <w:szCs w:val="32"/>
          <w:highlight w:val="none"/>
        </w:rPr>
        <w:t>渐变段的结构尺寸、材料型号、性能指标应</w:t>
      </w:r>
      <w:r>
        <w:rPr>
          <w:rFonts w:hint="eastAsia" w:ascii="仿宋_GB2312" w:hAnsi="仿宋_GB2312" w:eastAsia="仿宋_GB2312" w:cs="仿宋_GB2312"/>
          <w:sz w:val="32"/>
          <w:szCs w:val="32"/>
          <w:highlight w:val="none"/>
          <w:lang w:val="en-US" w:eastAsia="zh-CN"/>
        </w:rPr>
        <w:t>满足</w:t>
      </w:r>
      <w:r>
        <w:rPr>
          <w:rFonts w:hint="eastAsia" w:ascii="仿宋_GB2312" w:hAnsi="仿宋_GB2312" w:eastAsia="仿宋_GB2312" w:cs="仿宋_GB2312"/>
          <w:sz w:val="32"/>
          <w:szCs w:val="32"/>
          <w:highlight w:val="none"/>
        </w:rPr>
        <w:t>现行规范</w:t>
      </w:r>
      <w:r>
        <w:rPr>
          <w:rFonts w:hint="eastAsia" w:ascii="仿宋_GB2312" w:hAnsi="仿宋_GB2312" w:eastAsia="仿宋_GB2312" w:cs="仿宋_GB2312"/>
          <w:sz w:val="32"/>
          <w:szCs w:val="32"/>
          <w:highlight w:val="none"/>
          <w:lang w:val="en-US" w:eastAsia="zh-CN"/>
        </w:rPr>
        <w:t>质量</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满足</w:t>
      </w:r>
      <w:r>
        <w:rPr>
          <w:rFonts w:hint="eastAsia" w:ascii="仿宋_GB2312" w:hAnsi="仿宋_GB2312" w:eastAsia="仿宋_GB2312" w:cs="仿宋_GB2312"/>
          <w:sz w:val="32"/>
          <w:szCs w:val="32"/>
          <w:highlight w:val="none"/>
        </w:rPr>
        <w:t>设计</w:t>
      </w:r>
      <w:r>
        <w:rPr>
          <w:rFonts w:hint="eastAsia" w:ascii="仿宋_GB2312" w:hAnsi="仿宋_GB2312" w:eastAsia="仿宋_GB2312" w:cs="仿宋_GB2312"/>
          <w:sz w:val="32"/>
          <w:szCs w:val="32"/>
          <w:highlight w:val="none"/>
          <w:lang w:val="en-US" w:eastAsia="zh-CN"/>
        </w:rPr>
        <w:t>文件指标要求</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护栏安装和使用须满足《公路交通安全设施设计规范》(JTGD81-2017)和《公路交通安全设施设计细则》(JTG/TD81-2017)相关要求</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）旋转桶式活动护栏</w:t>
      </w:r>
      <w:r>
        <w:rPr>
          <w:rFonts w:hint="eastAsia" w:ascii="仿宋_GB2312" w:hAnsi="仿宋_GB2312" w:eastAsia="仿宋_GB2312" w:cs="仿宋_GB2312"/>
          <w:sz w:val="32"/>
          <w:szCs w:val="32"/>
          <w:highlight w:val="none"/>
        </w:rPr>
        <w:t>由防护导向结构、支撑结构、约束连接结构和过渡连接结构组成，打开约束连接后可自由移动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活动护栏单元长度可以 为2m/4m/6m</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横梁</w:t>
      </w:r>
      <w:r>
        <w:rPr>
          <w:rFonts w:hint="eastAsia" w:ascii="仿宋_GB2312" w:hAnsi="仿宋_GB2312" w:eastAsia="仿宋_GB2312" w:cs="仿宋_GB2312"/>
          <w:sz w:val="32"/>
          <w:szCs w:val="32"/>
          <w:highlight w:val="none"/>
        </w:rPr>
        <w:t>、立柱、</w:t>
      </w:r>
      <w:r>
        <w:rPr>
          <w:rFonts w:hint="eastAsia" w:ascii="仿宋_GB2312" w:hAnsi="仿宋_GB2312" w:eastAsia="仿宋_GB2312" w:cs="仿宋_GB2312"/>
          <w:sz w:val="32"/>
          <w:szCs w:val="32"/>
          <w:highlight w:val="none"/>
          <w:lang w:val="en-US" w:eastAsia="zh-CN"/>
        </w:rPr>
        <w:t>套筒</w:t>
      </w:r>
      <w:r>
        <w:rPr>
          <w:rFonts w:hint="eastAsia" w:ascii="仿宋_GB2312" w:hAnsi="仿宋_GB2312" w:eastAsia="仿宋_GB2312" w:cs="仿宋_GB2312"/>
          <w:sz w:val="32"/>
          <w:szCs w:val="32"/>
          <w:highlight w:val="none"/>
        </w:rPr>
        <w:t>、端头等防腐处理应符合《公路交通工程钢构件防腐技术条件》（GB T 18226-2015）的规定，材料尺寸和厚度应满足设计要求。</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所有的连接螺栓及拼接螺栓应在护栏的线形达到规定要求时才能拧紧。</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其他类要求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需确保供应全部材料的质量合格，保证能100%通过甲方代表、业主、监理、第三方检测单位及省监督站等有关部门的随机抽样检测；若检测不合格，乙方应在甲方问题反馈的24小时内作出处理回复；乙方不予回复处理，视为认可甲方所提出的质量问题，甲方有权要求乙方予以退换，乙方需在3天内将全部材料清场，7天内更换合格材料到场，由此产生的装卸费、搬运费、人工费、返工费、运输费等一切费用由乙方承担，如由此造成甲方返工的，还应当赔偿返工损失。乙方如未能及时足量更换合格材料的，为保证工程顺利施工，甲方有权另行采购相应的材料，乙方应退回已付货款并支付合同总金额30%违约金。如乙方未依约退换材料或者乙方未将不合格材料清场的，乙方放在工地上的材料，视为废弃物，甲方有权进行处置，仓储费、场地占用费以及处置费用由乙方承担，材料毁损、灭失风险亦由乙方自行承担。</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sz w:val="32"/>
          <w:szCs w:val="32"/>
          <w:highlight w:val="none"/>
        </w:rPr>
      </w:pPr>
      <w:bookmarkStart w:id="303" w:name="_Toc3721"/>
      <w:r>
        <w:rPr>
          <w:rFonts w:hint="eastAsia" w:ascii="仿宋_GB2312" w:hAnsi="仿宋_GB2312" w:eastAsia="仿宋_GB2312" w:cs="仿宋_GB2312"/>
          <w:b/>
          <w:bCs/>
          <w:sz w:val="32"/>
          <w:szCs w:val="32"/>
          <w:highlight w:val="none"/>
        </w:rPr>
        <w:t>四、双方的权利及义务</w:t>
      </w:r>
      <w:bookmarkEnd w:id="303"/>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甲方按时提供分批次需求计划，因计划不及时造成的影响由甲方自负；若乙方不能按照计划供货影响工程施工，造成的损失由乙方承担（自然灾害等不可抗拒的因素除外）。延误期达到  2 天以上，甲方将有权终止本合同。</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）因甲方工程施工发生工程变更等特殊原因，甲方有权对本合同数量和品种进行调整，并及时通知乙方，乙方按通知的数量和品种组织供应</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乙方在运输过程中发生交通事故、人身伤害、通讯或水电线路损害、污染物泄漏等所造成的一切损失由乙方承担。</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）收料单（供货联）由乙方自行保管，严禁倒卖。收料单必须作为材料结算单的附件。对褶皱造成的字迹不清、丢失等，责任由乙方承担，私自涂改收料单，甲方有权拒绝结算并终止合同。</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乙方运输时与地方发生任何纠纷均与甲方无关，乙方需自行解决；乙方运输</w:t>
      </w:r>
      <w:r>
        <w:rPr>
          <w:rFonts w:hint="eastAsia" w:ascii="仿宋_GB2312" w:hAnsi="仿宋_GB2312" w:eastAsia="仿宋_GB2312" w:cs="仿宋_GB2312"/>
          <w:sz w:val="32"/>
          <w:szCs w:val="32"/>
          <w:highlight w:val="none"/>
          <w:lang w:eastAsia="zh-CN"/>
        </w:rPr>
        <w:t>车辆</w:t>
      </w:r>
      <w:r>
        <w:rPr>
          <w:rFonts w:hint="eastAsia" w:ascii="仿宋_GB2312" w:hAnsi="仿宋_GB2312" w:eastAsia="仿宋_GB2312" w:cs="仿宋_GB2312"/>
          <w:sz w:val="32"/>
          <w:szCs w:val="32"/>
          <w:highlight w:val="none"/>
        </w:rPr>
        <w:t>进入甲方</w:t>
      </w:r>
      <w:r>
        <w:rPr>
          <w:rFonts w:hint="eastAsia" w:ascii="仿宋_GB2312" w:hAnsi="仿宋_GB2312" w:eastAsia="仿宋_GB2312" w:cs="仿宋_GB2312"/>
          <w:sz w:val="32"/>
          <w:szCs w:val="32"/>
          <w:highlight w:val="none"/>
          <w:lang w:val="en-US" w:eastAsia="zh-CN"/>
        </w:rPr>
        <w:t>工厂</w:t>
      </w:r>
      <w:r>
        <w:rPr>
          <w:rFonts w:hint="eastAsia" w:ascii="仿宋_GB2312" w:hAnsi="仿宋_GB2312" w:eastAsia="仿宋_GB2312" w:cs="仿宋_GB2312"/>
          <w:sz w:val="32"/>
          <w:szCs w:val="32"/>
          <w:highlight w:val="none"/>
        </w:rPr>
        <w:t>范围内时，必须遵守甲方的规章制度，服从甲方人员指挥，注意安全、不损坏甲方项目内设施，自觉控制运输车辆的速度与噪声。如果乙方原因引起设施损坏、安全事故等，由乙方承担责任。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若乙方提供的材料确实存在质量问题，乙方不得以货物已经验收、签收、使用及其他原因为由进行抗辩免责。</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甲方在施工过程中或施工结束后因乙方材料质量原因导致甲方受到第三方主张权利或行政处罚，乙方应当承担一切赔偿责任（包括但不限于诉讼费、律师费、保全费和差旅费等），该责任不因合同的终止而减小或解除。</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kern w:val="2"/>
          <w:sz w:val="32"/>
          <w:szCs w:val="32"/>
          <w:highlight w:val="none"/>
          <w:lang w:val="en-US" w:eastAsia="zh-CN" w:bidi="ar-SA"/>
        </w:rPr>
      </w:pPr>
      <w:bookmarkStart w:id="304" w:name="_Toc20378"/>
      <w:r>
        <w:rPr>
          <w:rFonts w:hint="eastAsia" w:ascii="仿宋_GB2312" w:hAnsi="仿宋_GB2312" w:eastAsia="仿宋_GB2312" w:cs="仿宋_GB2312"/>
          <w:b/>
          <w:bCs/>
          <w:kern w:val="2"/>
          <w:sz w:val="32"/>
          <w:szCs w:val="32"/>
          <w:highlight w:val="none"/>
          <w:lang w:val="en-US" w:eastAsia="zh-CN" w:bidi="ar-SA"/>
        </w:rPr>
        <w:t>五、协作服务费用及结算方式</w:t>
      </w:r>
      <w:bookmarkEnd w:id="304"/>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（一）工程量清单</w:t>
      </w:r>
    </w:p>
    <w:tbl>
      <w:tblPr>
        <w:tblStyle w:val="31"/>
        <w:tblW w:w="5000" w:type="pct"/>
        <w:jc w:val="center"/>
        <w:tblLayout w:type="autofit"/>
        <w:tblCellMar>
          <w:top w:w="0" w:type="dxa"/>
          <w:left w:w="108" w:type="dxa"/>
          <w:bottom w:w="0" w:type="dxa"/>
          <w:right w:w="108" w:type="dxa"/>
        </w:tblCellMar>
      </w:tblPr>
      <w:tblGrid>
        <w:gridCol w:w="697"/>
        <w:gridCol w:w="2617"/>
        <w:gridCol w:w="542"/>
        <w:gridCol w:w="1292"/>
        <w:gridCol w:w="1310"/>
        <w:gridCol w:w="1294"/>
        <w:gridCol w:w="1308"/>
      </w:tblGrid>
      <w:tr>
        <w:tblPrEx>
          <w:tblCellMar>
            <w:top w:w="0" w:type="dxa"/>
            <w:left w:w="108" w:type="dxa"/>
            <w:bottom w:w="0" w:type="dxa"/>
            <w:right w:w="108" w:type="dxa"/>
          </w:tblCellMar>
        </w:tblPrEx>
        <w:trPr>
          <w:trHeight w:val="567" w:hRule="atLeast"/>
          <w:jc w:val="center"/>
        </w:trPr>
        <w:tc>
          <w:tcPr>
            <w:tcW w:w="5000" w:type="pct"/>
            <w:gridSpan w:val="7"/>
            <w:tcBorders>
              <w:top w:val="nil"/>
              <w:left w:val="nil"/>
              <w:bottom w:val="single" w:color="000000" w:sz="8" w:space="0"/>
              <w:right w:val="nil"/>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sz w:val="30"/>
                <w:szCs w:val="30"/>
                <w:highlight w:val="none"/>
                <w:lang w:val="en-US" w:eastAsia="zh-CN"/>
              </w:rPr>
              <w:t>宁德地区旋转桶式活动护栏原材料</w:t>
            </w:r>
          </w:p>
        </w:tc>
      </w:tr>
      <w:tr>
        <w:tblPrEx>
          <w:tblCellMar>
            <w:top w:w="0" w:type="dxa"/>
            <w:left w:w="108" w:type="dxa"/>
            <w:bottom w:w="0" w:type="dxa"/>
            <w:right w:w="108" w:type="dxa"/>
          </w:tblCellMar>
        </w:tblPrEx>
        <w:trPr>
          <w:trHeight w:val="567" w:hRule="atLeast"/>
          <w:jc w:val="center"/>
        </w:trPr>
        <w:tc>
          <w:tcPr>
            <w:tcW w:w="385" w:type="pct"/>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序号</w:t>
            </w:r>
          </w:p>
        </w:tc>
        <w:tc>
          <w:tcPr>
            <w:tcW w:w="1444"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工程或费用名称</w:t>
            </w:r>
          </w:p>
        </w:tc>
        <w:tc>
          <w:tcPr>
            <w:tcW w:w="299"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单位</w:t>
            </w:r>
          </w:p>
        </w:tc>
        <w:tc>
          <w:tcPr>
            <w:tcW w:w="713"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工程数量</w:t>
            </w:r>
          </w:p>
        </w:tc>
        <w:tc>
          <w:tcPr>
            <w:tcW w:w="721"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单价（元</w:t>
            </w:r>
            <w:r>
              <w:rPr>
                <w:rFonts w:hint="eastAsia" w:ascii="仿宋_GB2312" w:hAnsi="仿宋_GB2312" w:eastAsia="仿宋_GB2312" w:cs="仿宋_GB2312"/>
                <w:color w:val="000000"/>
                <w:kern w:val="0"/>
                <w:sz w:val="32"/>
                <w:szCs w:val="32"/>
                <w:highlight w:val="none"/>
                <w:lang w:val="en-US" w:eastAsia="zh-CN" w:bidi="ar"/>
              </w:rPr>
              <w:t>/米</w:t>
            </w:r>
            <w:r>
              <w:rPr>
                <w:rFonts w:hint="eastAsia" w:ascii="仿宋_GB2312" w:hAnsi="仿宋_GB2312" w:eastAsia="仿宋_GB2312" w:cs="仿宋_GB2312"/>
                <w:color w:val="000000"/>
                <w:kern w:val="0"/>
                <w:sz w:val="32"/>
                <w:szCs w:val="32"/>
                <w:highlight w:val="none"/>
                <w:lang w:bidi="ar"/>
              </w:rPr>
              <w:t>）</w:t>
            </w:r>
          </w:p>
        </w:tc>
        <w:tc>
          <w:tcPr>
            <w:tcW w:w="714"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总</w:t>
            </w:r>
            <w:r>
              <w:rPr>
                <w:rFonts w:hint="eastAsia" w:ascii="仿宋_GB2312" w:hAnsi="仿宋_GB2312" w:eastAsia="仿宋_GB2312" w:cs="仿宋_GB2312"/>
                <w:color w:val="000000"/>
                <w:kern w:val="0"/>
                <w:sz w:val="32"/>
                <w:szCs w:val="32"/>
                <w:highlight w:val="none"/>
                <w:lang w:bidi="ar"/>
              </w:rPr>
              <w:t>金额（元）</w:t>
            </w:r>
          </w:p>
        </w:tc>
        <w:tc>
          <w:tcPr>
            <w:tcW w:w="721"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备注</w:t>
            </w:r>
          </w:p>
        </w:tc>
      </w:tr>
      <w:tr>
        <w:tblPrEx>
          <w:tblCellMar>
            <w:top w:w="0" w:type="dxa"/>
            <w:left w:w="108" w:type="dxa"/>
            <w:bottom w:w="0" w:type="dxa"/>
            <w:right w:w="108" w:type="dxa"/>
          </w:tblCellMar>
        </w:tblPrEx>
        <w:trPr>
          <w:trHeight w:val="567" w:hRule="atLeast"/>
          <w:jc w:val="center"/>
        </w:trPr>
        <w:tc>
          <w:tcPr>
            <w:tcW w:w="385"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bidi="ar"/>
              </w:rPr>
              <w:t>1</w:t>
            </w:r>
          </w:p>
        </w:tc>
        <w:tc>
          <w:tcPr>
            <w:tcW w:w="1444"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sz w:val="21"/>
                <w:szCs w:val="21"/>
                <w:highlight w:val="none"/>
                <w:lang w:val="en-US" w:eastAsia="zh-CN"/>
              </w:rPr>
              <w:t>宁德地区旋转桶式活动护栏原材料</w:t>
            </w:r>
          </w:p>
        </w:tc>
        <w:tc>
          <w:tcPr>
            <w:tcW w:w="299"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米</w:t>
            </w:r>
          </w:p>
        </w:tc>
        <w:tc>
          <w:tcPr>
            <w:tcW w:w="713"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2500</w:t>
            </w:r>
          </w:p>
        </w:tc>
        <w:tc>
          <w:tcPr>
            <w:tcW w:w="721"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val="en-US" w:eastAsia="zh-CN"/>
              </w:rPr>
            </w:pPr>
          </w:p>
        </w:tc>
        <w:tc>
          <w:tcPr>
            <w:tcW w:w="714"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p>
        </w:tc>
        <w:tc>
          <w:tcPr>
            <w:tcW w:w="721"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color w:val="000000"/>
                <w:sz w:val="32"/>
                <w:szCs w:val="32"/>
                <w:highlight w:val="none"/>
              </w:rPr>
            </w:pPr>
          </w:p>
        </w:tc>
      </w:tr>
      <w:tr>
        <w:tblPrEx>
          <w:tblCellMar>
            <w:top w:w="0" w:type="dxa"/>
            <w:left w:w="108" w:type="dxa"/>
            <w:bottom w:w="0" w:type="dxa"/>
            <w:right w:w="108" w:type="dxa"/>
          </w:tblCellMar>
        </w:tblPrEx>
        <w:trPr>
          <w:trHeight w:val="567" w:hRule="atLeast"/>
          <w:jc w:val="center"/>
        </w:trPr>
        <w:tc>
          <w:tcPr>
            <w:tcW w:w="3564" w:type="pct"/>
            <w:gridSpan w:val="5"/>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合计</w:t>
            </w:r>
          </w:p>
        </w:tc>
        <w:tc>
          <w:tcPr>
            <w:tcW w:w="714"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p>
        </w:tc>
        <w:tc>
          <w:tcPr>
            <w:tcW w:w="721" w:type="pct"/>
            <w:tcBorders>
              <w:top w:val="single" w:color="000000" w:sz="8" w:space="0"/>
              <w:left w:val="nil"/>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color w:val="000000"/>
                <w:sz w:val="32"/>
                <w:szCs w:val="32"/>
                <w:highlight w:val="none"/>
              </w:rPr>
            </w:pPr>
          </w:p>
        </w:tc>
      </w:tr>
      <w:tr>
        <w:tblPrEx>
          <w:tblCellMar>
            <w:top w:w="0" w:type="dxa"/>
            <w:left w:w="108" w:type="dxa"/>
            <w:bottom w:w="0" w:type="dxa"/>
            <w:right w:w="108" w:type="dxa"/>
          </w:tblCellMar>
        </w:tblPrEx>
        <w:trPr>
          <w:trHeight w:val="567" w:hRule="atLeast"/>
          <w:jc w:val="center"/>
        </w:trPr>
        <w:tc>
          <w:tcPr>
            <w:tcW w:w="5000" w:type="pct"/>
            <w:gridSpan w:val="7"/>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bidi="ar"/>
              </w:rPr>
              <w:t>备注：1</w:t>
            </w:r>
            <w:r>
              <w:rPr>
                <w:rFonts w:hint="eastAsia"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bidi="ar"/>
              </w:rPr>
              <w:t>包含直接费用、间接费用、税收等一切相关费用。</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840" w:firstLineChars="300"/>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val="en-US" w:eastAsia="zh-CN" w:bidi="ar"/>
              </w:rPr>
              <w:t>2.</w:t>
            </w:r>
            <w:r>
              <w:rPr>
                <w:rFonts w:hint="eastAsia" w:ascii="仿宋_GB2312" w:hAnsi="仿宋_GB2312" w:eastAsia="仿宋_GB2312" w:cs="仿宋_GB2312"/>
                <w:b w:val="0"/>
                <w:bCs w:val="0"/>
                <w:color w:val="000000"/>
                <w:kern w:val="0"/>
                <w:sz w:val="28"/>
                <w:szCs w:val="28"/>
                <w:highlight w:val="none"/>
                <w:lang w:bidi="ar"/>
              </w:rPr>
              <w:t>本项目为</w:t>
            </w:r>
            <w:r>
              <w:rPr>
                <w:rFonts w:hint="eastAsia" w:ascii="仿宋_GB2312" w:hAnsi="仿宋_GB2312" w:eastAsia="仿宋_GB2312" w:cs="仿宋_GB2312"/>
                <w:b w:val="0"/>
                <w:bCs w:val="0"/>
                <w:color w:val="000000"/>
                <w:kern w:val="0"/>
                <w:sz w:val="28"/>
                <w:szCs w:val="28"/>
                <w:highlight w:val="none"/>
                <w:lang w:eastAsia="zh-CN" w:bidi="ar"/>
              </w:rPr>
              <w:t>单价</w:t>
            </w:r>
            <w:r>
              <w:rPr>
                <w:rFonts w:hint="eastAsia" w:ascii="仿宋_GB2312" w:hAnsi="仿宋_GB2312" w:eastAsia="仿宋_GB2312" w:cs="仿宋_GB2312"/>
                <w:b w:val="0"/>
                <w:bCs w:val="0"/>
                <w:color w:val="000000"/>
                <w:kern w:val="0"/>
                <w:sz w:val="28"/>
                <w:szCs w:val="28"/>
                <w:highlight w:val="none"/>
                <w:lang w:bidi="ar"/>
              </w:rPr>
              <w:t>合同，</w:t>
            </w:r>
            <w:r>
              <w:rPr>
                <w:rFonts w:hint="eastAsia" w:ascii="仿宋_GB2312" w:hAnsi="仿宋_GB2312" w:eastAsia="仿宋_GB2312" w:cs="仿宋_GB2312"/>
                <w:bCs/>
                <w:sz w:val="28"/>
                <w:szCs w:val="28"/>
                <w:highlight w:val="none"/>
              </w:rPr>
              <w:t>结算数量以实际完成并经现场验收合格数量为准。</w:t>
            </w:r>
            <w:r>
              <w:rPr>
                <w:rFonts w:hint="eastAsia" w:ascii="仿宋_GB2312" w:hAnsi="仿宋_GB2312" w:eastAsia="仿宋_GB2312" w:cs="仿宋_GB2312"/>
                <w:b w:val="0"/>
                <w:bCs w:val="0"/>
                <w:color w:val="000000"/>
                <w:kern w:val="0"/>
                <w:sz w:val="28"/>
                <w:szCs w:val="28"/>
                <w:highlight w:val="none"/>
                <w:lang w:bidi="ar"/>
              </w:rPr>
              <w:t>如有路段新增</w:t>
            </w:r>
            <w:r>
              <w:rPr>
                <w:rFonts w:hint="eastAsia" w:ascii="仿宋_GB2312" w:hAnsi="仿宋_GB2312" w:eastAsia="仿宋_GB2312" w:cs="仿宋_GB2312"/>
                <w:b w:val="0"/>
                <w:bCs w:val="0"/>
                <w:color w:val="000000"/>
                <w:kern w:val="0"/>
                <w:sz w:val="28"/>
                <w:szCs w:val="28"/>
                <w:highlight w:val="none"/>
                <w:lang w:val="en-US" w:eastAsia="zh-CN" w:bidi="ar"/>
              </w:rPr>
              <w:t>数量</w:t>
            </w:r>
            <w:r>
              <w:rPr>
                <w:rFonts w:hint="eastAsia" w:ascii="仿宋_GB2312" w:hAnsi="仿宋_GB2312" w:eastAsia="仿宋_GB2312" w:cs="仿宋_GB2312"/>
                <w:b w:val="0"/>
                <w:bCs w:val="0"/>
                <w:color w:val="000000"/>
                <w:kern w:val="0"/>
                <w:sz w:val="28"/>
                <w:szCs w:val="28"/>
                <w:highlight w:val="none"/>
                <w:lang w:bidi="ar"/>
              </w:rPr>
              <w:t>按本项目单价，以</w:t>
            </w:r>
            <w:r>
              <w:rPr>
                <w:rFonts w:hint="eastAsia" w:ascii="仿宋_GB2312" w:hAnsi="仿宋_GB2312" w:eastAsia="仿宋_GB2312" w:cs="仿宋_GB2312"/>
                <w:b w:val="0"/>
                <w:bCs w:val="0"/>
                <w:color w:val="000000"/>
                <w:kern w:val="0"/>
                <w:sz w:val="28"/>
                <w:szCs w:val="28"/>
                <w:highlight w:val="none"/>
                <w:lang w:val="en-US" w:eastAsia="zh-CN" w:bidi="ar"/>
              </w:rPr>
              <w:t>经验收合格的</w:t>
            </w:r>
            <w:r>
              <w:rPr>
                <w:rFonts w:hint="eastAsia" w:ascii="仿宋_GB2312" w:hAnsi="仿宋_GB2312" w:eastAsia="仿宋_GB2312" w:cs="仿宋_GB2312"/>
                <w:b w:val="0"/>
                <w:bCs w:val="0"/>
                <w:color w:val="000000"/>
                <w:kern w:val="0"/>
                <w:sz w:val="28"/>
                <w:szCs w:val="28"/>
                <w:highlight w:val="none"/>
                <w:lang w:bidi="ar"/>
              </w:rPr>
              <w:t>实际完成数量为准。</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840" w:firstLineChars="300"/>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val="en-US" w:eastAsia="zh-CN" w:bidi="ar"/>
              </w:rPr>
              <w:t>3.</w:t>
            </w:r>
            <w:r>
              <w:rPr>
                <w:rFonts w:hint="eastAsia" w:ascii="仿宋_GB2312" w:hAnsi="仿宋_GB2312" w:eastAsia="仿宋_GB2312" w:cs="仿宋_GB2312"/>
                <w:b w:val="0"/>
                <w:bCs w:val="0"/>
                <w:color w:val="000000"/>
                <w:kern w:val="0"/>
                <w:sz w:val="28"/>
                <w:szCs w:val="28"/>
                <w:highlight w:val="none"/>
                <w:lang w:bidi="ar"/>
              </w:rPr>
              <w:t>安全生产专项费用、工程保险费、工伤保险费等应满足国家相关规定费用要求。</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840" w:firstLineChars="300"/>
              <w:jc w:val="left"/>
              <w:textAlignment w:val="center"/>
              <w:rPr>
                <w:rFonts w:hint="default"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 w:val="0"/>
                <w:bCs w:val="0"/>
                <w:color w:val="000000"/>
                <w:kern w:val="0"/>
                <w:sz w:val="28"/>
                <w:szCs w:val="28"/>
                <w:highlight w:val="none"/>
                <w:lang w:val="en-US" w:eastAsia="zh-CN" w:bidi="ar"/>
              </w:rPr>
              <w:t>.采购原材料应包含横梁、立柱、套筒、万向轮构件、端头等完成除旋转桶外其余部件，该批次原材料必须按图纸要求镀锌。</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840" w:firstLineChars="300"/>
              <w:jc w:val="left"/>
              <w:textAlignment w:val="center"/>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Cs/>
                <w:sz w:val="28"/>
                <w:szCs w:val="28"/>
                <w:highlight w:val="none"/>
                <w:lang w:val="en-US" w:eastAsia="zh-CN"/>
              </w:rPr>
              <w:t>5.</w:t>
            </w:r>
            <w:r>
              <w:rPr>
                <w:rFonts w:hint="eastAsia" w:ascii="仿宋_GB2312" w:hAnsi="仿宋_GB2312" w:eastAsia="仿宋_GB2312" w:cs="仿宋_GB2312"/>
                <w:color w:val="000000"/>
                <w:kern w:val="2"/>
                <w:sz w:val="28"/>
                <w:szCs w:val="28"/>
                <w:highlight w:val="none"/>
                <w:lang w:val="en-US" w:eastAsia="zh-CN" w:bidi="ar-SA"/>
              </w:rPr>
              <w:t xml:space="preserve">原材料所包含的调节段，固定段，标准段，加强段，以采购方通知为准。 </w:t>
            </w:r>
          </w:p>
        </w:tc>
      </w:tr>
    </w:tbl>
    <w:p>
      <w:pPr>
        <w:numPr>
          <w:ilvl w:val="0"/>
          <w:numId w:val="0"/>
        </w:numPr>
        <w:spacing w:line="560" w:lineRule="atLeas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（二）</w:t>
      </w:r>
      <w:r>
        <w:rPr>
          <w:rFonts w:hint="eastAsia" w:ascii="仿宋_GB2312" w:hAnsi="仿宋_GB2312" w:eastAsia="仿宋_GB2312" w:cs="仿宋_GB2312"/>
          <w:sz w:val="32"/>
          <w:szCs w:val="32"/>
          <w:highlight w:val="none"/>
        </w:rPr>
        <w:t>结算方式：</w:t>
      </w:r>
      <w:r>
        <w:rPr>
          <w:rFonts w:hint="eastAsia" w:ascii="仿宋_GB2312" w:hAnsi="仿宋_GB2312" w:eastAsia="仿宋_GB2312" w:cs="仿宋_GB2312"/>
          <w:sz w:val="32"/>
          <w:szCs w:val="32"/>
          <w:highlight w:val="none"/>
          <w:lang w:val="en-US" w:eastAsia="zh-CN"/>
        </w:rPr>
        <w:t>合同签订后7日内，甲方向乙方按合同总额的20%支付项目预付款，按路段分批分期结算，</w:t>
      </w:r>
      <w:r>
        <w:rPr>
          <w:rFonts w:hint="eastAsia" w:ascii="仿宋_GB2312" w:hAnsi="仿宋_GB2312" w:eastAsia="仿宋_GB2312" w:cs="仿宋_GB2312"/>
          <w:sz w:val="32"/>
          <w:szCs w:val="32"/>
          <w:highlight w:val="none"/>
        </w:rPr>
        <w:t>根据甲方实际发货通知，货到收货地且甲方验收合格并收到乙方结算单和增值税专用发票后，十五日内通过银行转账的方式向乙方支付</w:t>
      </w:r>
      <w:r>
        <w:rPr>
          <w:rFonts w:hint="eastAsia" w:ascii="仿宋_GB2312" w:hAnsi="仿宋_GB2312" w:eastAsia="仿宋_GB2312" w:cs="仿宋_GB2312"/>
          <w:sz w:val="32"/>
          <w:szCs w:val="32"/>
          <w:highlight w:val="none"/>
          <w:lang w:val="en-US" w:eastAsia="zh-CN"/>
        </w:rPr>
        <w:t>该路段剩余</w:t>
      </w:r>
      <w:r>
        <w:rPr>
          <w:rFonts w:hint="eastAsia" w:ascii="仿宋_GB2312" w:hAnsi="仿宋_GB2312" w:eastAsia="仿宋_GB2312" w:cs="仿宋_GB2312"/>
          <w:sz w:val="32"/>
          <w:szCs w:val="32"/>
          <w:highlight w:val="none"/>
        </w:rPr>
        <w:t>货款。</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（三）银行账户信息</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1.甲方银行账户信息：</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开户银行：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银行账号：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开户名称：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2.乙方银行账户信息</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开户银行：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银行账号：                                    </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开户名称：                                    </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305" w:name="_Toc5674"/>
      <w:r>
        <w:rPr>
          <w:rFonts w:hint="eastAsia" w:ascii="仿宋_GB2312" w:hAnsi="仿宋_GB2312" w:eastAsia="仿宋_GB2312" w:cs="仿宋_GB2312"/>
          <w:b/>
          <w:bCs/>
          <w:sz w:val="32"/>
          <w:szCs w:val="32"/>
          <w:highlight w:val="none"/>
          <w:lang w:val="en-US" w:eastAsia="zh-CN"/>
        </w:rPr>
        <w:t>六、履约保证金金额及形式</w:t>
      </w:r>
      <w:bookmarkEnd w:id="305"/>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（一）履约保证金金额：80000元；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（二）履约保证金币种：人民币；</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（三）履约保证金形式：中标方响应保证金在中标后转为履约保证金，履约保证金的退还需在乙方无违约情形下，合同期满后无息退还至乙方指定银行账户的条款。</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306" w:name="_Toc28963"/>
      <w:r>
        <w:rPr>
          <w:rFonts w:hint="eastAsia" w:ascii="仿宋_GB2312" w:hAnsi="仿宋_GB2312" w:eastAsia="仿宋_GB2312" w:cs="仿宋_GB2312"/>
          <w:b/>
          <w:bCs/>
          <w:sz w:val="32"/>
          <w:szCs w:val="32"/>
          <w:highlight w:val="none"/>
          <w:lang w:val="en-US" w:eastAsia="zh-CN"/>
        </w:rPr>
        <w:t>七、合同有效期</w:t>
      </w:r>
      <w:bookmarkEnd w:id="306"/>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合同签订之日至工程施工完成甲方付清材料款后终止。</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307" w:name="_Toc12396"/>
      <w:r>
        <w:rPr>
          <w:rFonts w:hint="eastAsia" w:ascii="仿宋_GB2312" w:hAnsi="仿宋_GB2312" w:eastAsia="仿宋_GB2312" w:cs="仿宋_GB2312"/>
          <w:b/>
          <w:bCs/>
          <w:sz w:val="32"/>
          <w:szCs w:val="32"/>
          <w:highlight w:val="none"/>
          <w:lang w:val="en-US" w:eastAsia="zh-CN"/>
        </w:rPr>
        <w:t>八、安全生产</w:t>
      </w:r>
      <w:bookmarkEnd w:id="307"/>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（一）乙方须严格遵守安全生产的要求，严禁发生违法乱纪等行为。</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（二）乙方须严格遵守高速公路作业的规章制度，确保安全生产。</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308" w:name="_Toc11620"/>
      <w:r>
        <w:rPr>
          <w:rFonts w:hint="eastAsia" w:ascii="仿宋_GB2312" w:hAnsi="仿宋_GB2312" w:eastAsia="仿宋_GB2312" w:cs="仿宋_GB2312"/>
          <w:b/>
          <w:bCs/>
          <w:sz w:val="32"/>
          <w:szCs w:val="32"/>
          <w:highlight w:val="none"/>
          <w:lang w:val="en-US" w:eastAsia="zh-CN"/>
        </w:rPr>
        <w:t>九、保险</w:t>
      </w:r>
      <w:bookmarkEnd w:id="308"/>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（一）乙方承诺为所有参与本项目协作服务人员办理意外伤害保险，并承担相应责任。保险缴费凭证（复印件）必须交甲方备案。</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（二）保险事故发生时，乙方有责任采取必要的措施减少损失。</w:t>
      </w:r>
    </w:p>
    <w:p>
      <w:pPr>
        <w:keepNext w:val="0"/>
        <w:keepLines w:val="0"/>
        <w:pageBreakBefore w:val="0"/>
        <w:kinsoku/>
        <w:wordWrap/>
        <w:overflowPunct/>
        <w:topLinePunct w:val="0"/>
        <w:autoSpaceDE/>
        <w:autoSpaceDN/>
        <w:bidi w:val="0"/>
        <w:adjustRightInd/>
        <w:spacing w:line="560" w:lineRule="exact"/>
        <w:ind w:firstLine="643" w:firstLineChars="200"/>
        <w:outlineLvl w:val="0"/>
        <w:rPr>
          <w:rFonts w:hint="eastAsia" w:ascii="仿宋_GB2312" w:hAnsi="仿宋_GB2312" w:eastAsia="仿宋_GB2312" w:cs="仿宋_GB2312"/>
          <w:b/>
          <w:bCs/>
          <w:sz w:val="32"/>
          <w:szCs w:val="32"/>
          <w:highlight w:val="none"/>
          <w:lang w:val="en-US" w:eastAsia="zh-CN"/>
        </w:rPr>
      </w:pPr>
      <w:bookmarkStart w:id="309" w:name="_Toc17330"/>
      <w:r>
        <w:rPr>
          <w:rFonts w:hint="eastAsia" w:ascii="仿宋_GB2312" w:hAnsi="仿宋_GB2312" w:eastAsia="仿宋_GB2312" w:cs="仿宋_GB2312"/>
          <w:b/>
          <w:bCs/>
          <w:sz w:val="32"/>
          <w:szCs w:val="32"/>
          <w:highlight w:val="none"/>
          <w:lang w:val="en-US" w:eastAsia="zh-CN"/>
        </w:rPr>
        <w:t>十、违约责任</w:t>
      </w:r>
      <w:bookmarkEnd w:id="309"/>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（一）乙方为本项目开展协作服务工作的人员资格不符合要求的，甲方有权单方面解除合同，由此造成的损失由乙方承担。</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（二）因乙方原因损坏现场设备或造成部分工程损坏的，乙方应赔偿全部损失，甲方有权从乙方协作服务费中扣除。</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（三）因乙方及第三方原因管理导致发生安全生产事故的，乙方应自行承担全部责任。</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（四）乙方未按合同约定完工的，每逾期一日应承担合同暂定总额1‰的违约金，逾期十五日仍未完工的，甲方有权解除合同并要求其承担合同总价款20%的违约金。</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（五）其余未明事项依照《中华人民共和国民法典》及相关民事法律、法规执行。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10" w:name="_Toc24599"/>
      <w:r>
        <w:rPr>
          <w:rFonts w:hint="eastAsia" w:ascii="仿宋_GB2312" w:hAnsi="仿宋_GB2312" w:eastAsia="仿宋_GB2312" w:cs="仿宋_GB2312"/>
          <w:b/>
          <w:bCs/>
          <w:sz w:val="32"/>
          <w:szCs w:val="32"/>
          <w:highlight w:val="none"/>
          <w:lang w:val="en-US" w:eastAsia="zh-CN"/>
        </w:rPr>
        <w:t>十一、不可抗力</w:t>
      </w:r>
      <w:bookmarkEnd w:id="3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甲乙双方的任何一方由于不可抗力的原因不能履行合同时，应及时向对方通报不能履行或不能完全履行的理由，在取得有关证明以后，允许延期履行、部分履行或者不履行合同，并根据情况部分或全部免予承担违约责任。因一方延迟履行导致发生不可抗力事由的，不免除延迟履行方的责任。</w:t>
      </w:r>
    </w:p>
    <w:p>
      <w:pPr>
        <w:spacing w:line="560" w:lineRule="exact"/>
        <w:ind w:firstLine="640" w:firstLineChars="200"/>
        <w:rPr>
          <w:rFonts w:hint="eastAsia"/>
          <w:highlight w:val="none"/>
          <w:lang w:val="en-US" w:eastAsia="zh-CN"/>
        </w:rPr>
      </w:pPr>
      <w:r>
        <w:rPr>
          <w:rFonts w:hint="eastAsia" w:ascii="仿宋_GB2312" w:hAnsi="仿宋_GB2312" w:eastAsia="仿宋_GB2312" w:cs="仿宋_GB2312"/>
          <w:sz w:val="32"/>
          <w:szCs w:val="32"/>
          <w:highlight w:val="none"/>
          <w:lang w:val="en-US" w:eastAsia="zh-CN"/>
        </w:rPr>
        <w:t>（二）发生不可抗力事件时，声称受到不可抗力事件影响的一方应在2日内将不可抗力事件的发生通知另一方，并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（三）因政府主管部门、工程建设业主、监理单位出台的相关文件、市场准入规定造成合同不能执行，甲方不承担任何责任。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11" w:name="_Toc6181"/>
      <w:r>
        <w:rPr>
          <w:rFonts w:hint="eastAsia" w:ascii="仿宋_GB2312" w:hAnsi="仿宋_GB2312" w:eastAsia="仿宋_GB2312" w:cs="仿宋_GB2312"/>
          <w:b/>
          <w:bCs/>
          <w:sz w:val="32"/>
          <w:szCs w:val="32"/>
          <w:highlight w:val="none"/>
          <w:lang w:val="en-US" w:eastAsia="zh-CN"/>
        </w:rPr>
        <w:t>十二、合同终止履行</w:t>
      </w:r>
      <w:bookmarkEnd w:id="311"/>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乙方在执行合同中出现下列任一行为均属违约行为，甲方可据此向乙方发出书面违约通知书，提出终止部分或全部合同的继续履行。</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（一）供应的材料出现严重质量问题或属于伪造产品。</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（二）以各种理由拒绝接收或完成买方的材料需求计划。</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（三）乙方不能保证供应导致甲方施工生产停滞。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12" w:name="_Toc1718"/>
      <w:r>
        <w:rPr>
          <w:rFonts w:hint="eastAsia" w:ascii="仿宋_GB2312" w:hAnsi="仿宋_GB2312" w:eastAsia="仿宋_GB2312" w:cs="仿宋_GB2312"/>
          <w:b/>
          <w:bCs/>
          <w:sz w:val="32"/>
          <w:szCs w:val="32"/>
          <w:highlight w:val="none"/>
          <w:lang w:val="en-US" w:eastAsia="zh-CN"/>
        </w:rPr>
        <w:t>十三、争议解决</w:t>
      </w:r>
      <w:bookmarkEnd w:id="312"/>
    </w:p>
    <w:p>
      <w:pPr>
        <w:pStyle w:val="2"/>
        <w:ind w:firstLine="643" w:firstLineChars="200"/>
        <w:rPr>
          <w:rFonts w:hint="default"/>
          <w:highlight w:val="none"/>
          <w:lang w:val="en-US" w:eastAsia="zh-CN"/>
        </w:rPr>
      </w:pPr>
      <w:r>
        <w:rPr>
          <w:rFonts w:hint="eastAsia" w:ascii="仿宋_GB2312" w:hAnsi="仿宋_GB2312" w:eastAsia="仿宋_GB2312" w:cs="仿宋_GB2312"/>
          <w:b/>
          <w:bCs/>
          <w:sz w:val="32"/>
          <w:szCs w:val="32"/>
          <w:highlight w:val="none"/>
          <w:lang w:val="en-US" w:eastAsia="zh-CN"/>
        </w:rPr>
        <w:t>因履行本合同产生的争议，由双方协商一致解决，协商不成的，双方均应向甲方所在地人民法院提起诉讼。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13" w:name="_Toc31624"/>
      <w:r>
        <w:rPr>
          <w:rFonts w:hint="eastAsia" w:ascii="仿宋_GB2312" w:hAnsi="仿宋_GB2312" w:eastAsia="仿宋_GB2312" w:cs="仿宋_GB2312"/>
          <w:b/>
          <w:bCs/>
          <w:sz w:val="32"/>
          <w:szCs w:val="32"/>
          <w:highlight w:val="none"/>
          <w:lang w:val="en-US" w:eastAsia="zh-CN"/>
        </w:rPr>
        <w:t>十四、合同的转让和分包</w:t>
      </w:r>
      <w:bookmarkEnd w:id="3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乙方不得将本合同范围内任何一部分以任何借口和形式转让或分包出去。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highlight w:val="none"/>
          <w:lang w:val="en-US" w:eastAsia="zh-CN"/>
        </w:rPr>
      </w:pPr>
      <w:bookmarkStart w:id="314" w:name="_Toc3446"/>
      <w:r>
        <w:rPr>
          <w:rFonts w:hint="eastAsia" w:ascii="仿宋_GB2312" w:hAnsi="仿宋_GB2312" w:eastAsia="仿宋_GB2312" w:cs="仿宋_GB2312"/>
          <w:b/>
          <w:bCs/>
          <w:sz w:val="32"/>
          <w:szCs w:val="32"/>
          <w:highlight w:val="none"/>
          <w:lang w:val="en-US" w:eastAsia="zh-CN"/>
        </w:rPr>
        <w:t>十五、附则</w:t>
      </w:r>
      <w:bookmarkEnd w:id="314"/>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（一）本合同经双方签字盖章后生效。合同履行过程中需要进一步约定合同条款的，可由双方协商后签订补充协议，补充协议和本合同具有同等法律效力。</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（二）询价文件、响应文件也为合同的组成部分。</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（三）本合同一式</w:t>
      </w:r>
      <w:r>
        <w:rPr>
          <w:rFonts w:hint="eastAsia" w:ascii="仿宋_GB2312" w:hAnsi="仿宋_GB2312" w:eastAsia="仿宋_GB2312" w:cs="仿宋_GB2312"/>
          <w:sz w:val="32"/>
          <w:szCs w:val="32"/>
          <w:highlight w:val="none"/>
          <w:u w:val="single"/>
          <w:lang w:val="en-US" w:eastAsia="zh-CN"/>
        </w:rPr>
        <w:t>捌</w:t>
      </w:r>
      <w:r>
        <w:rPr>
          <w:rFonts w:hint="eastAsia" w:ascii="仿宋_GB2312" w:hAnsi="仿宋_GB2312" w:eastAsia="仿宋_GB2312" w:cs="仿宋_GB2312"/>
          <w:sz w:val="32"/>
          <w:szCs w:val="32"/>
          <w:highlight w:val="none"/>
          <w:lang w:val="en-US" w:eastAsia="zh-CN"/>
        </w:rPr>
        <w:t>份，甲乙方各执</w:t>
      </w:r>
      <w:r>
        <w:rPr>
          <w:rFonts w:hint="eastAsia" w:ascii="仿宋_GB2312" w:hAnsi="仿宋_GB2312" w:eastAsia="仿宋_GB2312" w:cs="仿宋_GB2312"/>
          <w:sz w:val="32"/>
          <w:szCs w:val="32"/>
          <w:highlight w:val="none"/>
          <w:u w:val="single"/>
          <w:lang w:val="en-US" w:eastAsia="zh-CN"/>
        </w:rPr>
        <w:t>肆</w:t>
      </w:r>
      <w:r>
        <w:rPr>
          <w:rFonts w:hint="eastAsia" w:ascii="仿宋_GB2312" w:hAnsi="仿宋_GB2312" w:eastAsia="仿宋_GB2312" w:cs="仿宋_GB2312"/>
          <w:sz w:val="32"/>
          <w:szCs w:val="32"/>
          <w:highlight w:val="none"/>
          <w:lang w:val="en-US" w:eastAsia="zh-CN"/>
        </w:rPr>
        <w:t>份，具有同等法律效力。</w:t>
      </w:r>
    </w:p>
    <w:bookmarkEnd w:id="297"/>
    <w:bookmarkEnd w:id="298"/>
    <w:bookmarkEnd w:id="299"/>
    <w:bookmarkEnd w:id="300"/>
    <w:bookmarkEnd w:id="301"/>
    <w:bookmarkEnd w:id="302"/>
    <w:p>
      <w:pPr>
        <w:keepNext w:val="0"/>
        <w:keepLines w:val="0"/>
        <w:pageBreakBefore w:val="0"/>
        <w:kinsoku/>
        <w:wordWrap/>
        <w:overflowPunct/>
        <w:topLinePunct w:val="0"/>
        <w:autoSpaceDE/>
        <w:autoSpaceDN/>
        <w:bidi w:val="0"/>
        <w:adjustRightInd/>
        <w:spacing w:line="560" w:lineRule="exact"/>
        <w:rPr>
          <w:rFonts w:ascii="仿宋_GB2312" w:hAnsi="仿宋_GB2312" w:eastAsia="仿宋_GB2312" w:cs="仿宋_GB2312"/>
          <w:sz w:val="32"/>
          <w:szCs w:val="32"/>
          <w:highlight w:val="none"/>
        </w:rPr>
      </w:pP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甲方（盖章）：</w:t>
            </w:r>
          </w:p>
        </w:tc>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法人/授权代表（签字）：</w:t>
            </w:r>
          </w:p>
        </w:tc>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法人/授权代表（签字）：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tc>
        <w:tc>
          <w:tcPr>
            <w:tcW w:w="4530" w:type="dxa"/>
          </w:tcPr>
          <w:p>
            <w:pPr>
              <w:keepNext w:val="0"/>
              <w:keepLines w:val="0"/>
              <w:pageBreakBefore w:val="0"/>
              <w:widowControl/>
              <w:kinsoku/>
              <w:wordWrap/>
              <w:overflowPunct/>
              <w:topLinePunct w:val="0"/>
              <w:autoSpaceDE/>
              <w:autoSpaceDN/>
              <w:bidi w:val="0"/>
              <w:adjustRightIn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tc>
      </w:tr>
    </w:tbl>
    <w:p>
      <w:pPr>
        <w:widowControl/>
        <w:spacing w:line="560" w:lineRule="atLeast"/>
        <w:rPr>
          <w:rFonts w:hint="eastAsia" w:ascii="仿宋_GB2312" w:hAnsi="仿宋_GB2312" w:eastAsia="仿宋_GB2312" w:cs="仿宋_GB2312"/>
          <w:sz w:val="32"/>
          <w:szCs w:val="32"/>
          <w:highlight w:val="none"/>
        </w:rPr>
      </w:pPr>
    </w:p>
    <w:bookmarkEnd w:id="287"/>
    <w:p>
      <w:pPr>
        <w:pageBreakBefore/>
        <w:spacing w:line="560" w:lineRule="atLeast"/>
        <w:jc w:val="center"/>
        <w:outlineLvl w:val="0"/>
        <w:rPr>
          <w:rFonts w:hint="eastAsia" w:ascii="黑体" w:hAnsi="黑体" w:eastAsia="黑体" w:cs="黑体"/>
          <w:sz w:val="44"/>
          <w:szCs w:val="44"/>
          <w:highlight w:val="none"/>
        </w:rPr>
      </w:pPr>
      <w:bookmarkStart w:id="315" w:name="_Toc122257625"/>
      <w:bookmarkStart w:id="316" w:name="_Toc19739"/>
      <w:bookmarkStart w:id="317" w:name="_Toc20816"/>
      <w:bookmarkStart w:id="318" w:name="_Toc29038"/>
      <w:bookmarkStart w:id="319" w:name="_Toc122750651"/>
      <w:bookmarkStart w:id="320" w:name="_Toc8079"/>
      <w:bookmarkStart w:id="321" w:name="_Toc12462"/>
      <w:bookmarkStart w:id="322" w:name="_Toc4760"/>
      <w:bookmarkStart w:id="323" w:name="_Toc26998"/>
      <w:bookmarkStart w:id="324" w:name="_Toc24961"/>
      <w:bookmarkStart w:id="325" w:name="_Toc7999"/>
      <w:r>
        <w:rPr>
          <w:rFonts w:hint="eastAsia" w:ascii="黑体" w:hAnsi="黑体" w:eastAsia="黑体" w:cs="黑体"/>
          <w:sz w:val="44"/>
          <w:szCs w:val="44"/>
          <w:highlight w:val="none"/>
        </w:rPr>
        <w:t>第七篇</w:t>
      </w:r>
      <w:bookmarkEnd w:id="315"/>
      <w:r>
        <w:rPr>
          <w:rFonts w:hint="eastAsia" w:ascii="黑体" w:hAnsi="黑体" w:eastAsia="黑体" w:cs="黑体"/>
          <w:sz w:val="44"/>
          <w:szCs w:val="44"/>
          <w:highlight w:val="none"/>
        </w:rPr>
        <w:t xml:space="preserve">  响应文件格式</w:t>
      </w:r>
      <w:bookmarkEnd w:id="316"/>
      <w:bookmarkEnd w:id="317"/>
      <w:bookmarkEnd w:id="318"/>
      <w:bookmarkEnd w:id="319"/>
      <w:bookmarkEnd w:id="320"/>
      <w:bookmarkEnd w:id="321"/>
      <w:bookmarkEnd w:id="322"/>
      <w:bookmarkEnd w:id="323"/>
      <w:bookmarkEnd w:id="324"/>
      <w:bookmarkEnd w:id="325"/>
    </w:p>
    <w:p>
      <w:pPr>
        <w:pageBreakBefore/>
        <w:spacing w:line="560" w:lineRule="exact"/>
        <w:jc w:val="center"/>
        <w:rPr>
          <w:rFonts w:ascii="仿宋_GB2312" w:eastAsia="仿宋_GB2312"/>
          <w:bCs/>
          <w:sz w:val="44"/>
          <w:szCs w:val="44"/>
          <w:highlight w:val="none"/>
        </w:rPr>
      </w:pPr>
      <w:r>
        <w:rPr>
          <w:rFonts w:hint="eastAsia" w:ascii="仿宋_GB2312" w:eastAsia="仿宋_GB2312"/>
          <w:bCs/>
          <w:sz w:val="44"/>
          <w:szCs w:val="44"/>
          <w:highlight w:val="none"/>
        </w:rPr>
        <w:t>（响应文件包封封面）</w:t>
      </w:r>
    </w:p>
    <w:p>
      <w:pPr>
        <w:spacing w:line="560" w:lineRule="exact"/>
        <w:jc w:val="center"/>
        <w:rPr>
          <w:rFonts w:ascii="仿宋_GB2312" w:eastAsia="仿宋_GB2312"/>
          <w:bCs/>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lang w:eastAsia="zh-CN"/>
        </w:rPr>
        <w:t>福路通资源循环（福建）集团有限公司</w:t>
      </w:r>
      <w:r>
        <w:rPr>
          <w:rFonts w:hint="eastAsia" w:ascii="仿宋_GB2312" w:eastAsia="仿宋_GB2312"/>
          <w:b/>
          <w:sz w:val="44"/>
          <w:szCs w:val="44"/>
          <w:highlight w:val="none"/>
        </w:rPr>
        <w:t xml:space="preserve"> </w:t>
      </w: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lang w:eastAsia="zh-CN"/>
        </w:rPr>
        <w:t>宁德地区旋转桶式活动护栏原材料</w:t>
      </w:r>
      <w:r>
        <w:rPr>
          <w:rFonts w:hint="eastAsia" w:ascii="仿宋_GB2312" w:eastAsia="仿宋_GB2312"/>
          <w:b/>
          <w:sz w:val="44"/>
          <w:szCs w:val="44"/>
          <w:highlight w:val="none"/>
        </w:rPr>
        <w:t>询价采购</w:t>
      </w: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rPr>
        <w:t>响应文件</w:t>
      </w: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供应商：</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 xml:space="preserve"> （单位名称加盖公章）</w:t>
      </w:r>
    </w:p>
    <w:p>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日  期：2025年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pageBreakBefore/>
        <w:spacing w:line="560" w:lineRule="exact"/>
        <w:jc w:val="center"/>
        <w:rPr>
          <w:rFonts w:ascii="仿宋_GB2312" w:eastAsia="仿宋_GB2312"/>
          <w:bCs/>
          <w:sz w:val="44"/>
          <w:szCs w:val="44"/>
          <w:highlight w:val="none"/>
        </w:rPr>
      </w:pPr>
      <w:r>
        <w:rPr>
          <w:rFonts w:hint="eastAsia" w:ascii="仿宋_GB2312" w:eastAsia="仿宋_GB2312"/>
          <w:bCs/>
          <w:sz w:val="44"/>
          <w:szCs w:val="44"/>
          <w:highlight w:val="none"/>
        </w:rPr>
        <w:t>（响应文件封面）</w:t>
      </w: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lang w:eastAsia="zh-CN"/>
        </w:rPr>
        <w:t>福路通资源循环（福建）集团有限公司</w:t>
      </w:r>
      <w:r>
        <w:rPr>
          <w:rFonts w:hint="eastAsia" w:ascii="仿宋_GB2312" w:eastAsia="仿宋_GB2312"/>
          <w:b/>
          <w:sz w:val="44"/>
          <w:szCs w:val="44"/>
          <w:highlight w:val="none"/>
        </w:rPr>
        <w:t xml:space="preserve"> </w:t>
      </w: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lang w:eastAsia="zh-CN"/>
        </w:rPr>
        <w:t>宁德地区旋转桶式活动护栏原材料</w:t>
      </w:r>
      <w:r>
        <w:rPr>
          <w:rFonts w:hint="eastAsia" w:ascii="仿宋_GB2312" w:eastAsia="仿宋_GB2312"/>
          <w:b/>
          <w:sz w:val="44"/>
          <w:szCs w:val="44"/>
          <w:highlight w:val="none"/>
        </w:rPr>
        <w:t>询价采购</w:t>
      </w: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rPr>
        <w:t>响应文件</w:t>
      </w: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供应商：</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 xml:space="preserve"> （单位名称加盖公章）</w:t>
      </w:r>
    </w:p>
    <w:p>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日  期：2025年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p>
    <w:p>
      <w:pPr>
        <w:spacing w:line="560" w:lineRule="exact"/>
        <w:rPr>
          <w:rFonts w:ascii="仿宋_GB2312" w:eastAsia="仿宋_GB2312"/>
          <w:sz w:val="32"/>
          <w:szCs w:val="32"/>
          <w:highlight w:val="none"/>
        </w:rPr>
      </w:pPr>
    </w:p>
    <w:p>
      <w:pPr>
        <w:pageBreakBefore/>
        <w:jc w:val="center"/>
        <w:outlineLvl w:val="9"/>
        <w:rPr>
          <w:rFonts w:ascii="仿宋_GB2312" w:hAnsi="仿宋_GB2312" w:eastAsia="仿宋_GB2312" w:cs="仿宋_GB2312"/>
          <w:b/>
          <w:bCs/>
          <w:kern w:val="44"/>
          <w:sz w:val="44"/>
          <w:szCs w:val="44"/>
          <w:highlight w:val="none"/>
        </w:rPr>
      </w:pPr>
      <w:bookmarkStart w:id="326" w:name="_Toc28750"/>
      <w:bookmarkStart w:id="327" w:name="_Toc23879"/>
      <w:bookmarkStart w:id="328" w:name="_Toc27854"/>
      <w:bookmarkStart w:id="329" w:name="_Toc29472"/>
      <w:bookmarkStart w:id="330" w:name="_Toc31235"/>
      <w:bookmarkStart w:id="331" w:name="_Toc13593"/>
      <w:bookmarkStart w:id="332" w:name="_Toc30065"/>
      <w:bookmarkStart w:id="333" w:name="_Toc9836"/>
      <w:bookmarkStart w:id="334" w:name="_Toc9582"/>
      <w:bookmarkStart w:id="335" w:name="_Toc3952"/>
      <w:bookmarkStart w:id="336" w:name="_Toc31436"/>
      <w:bookmarkStart w:id="337" w:name="_Toc17844"/>
      <w:bookmarkStart w:id="338" w:name="_Toc19149"/>
      <w:r>
        <w:rPr>
          <w:rFonts w:hint="eastAsia" w:ascii="仿宋_GB2312" w:hAnsi="仿宋_GB2312" w:eastAsia="仿宋_GB2312" w:cs="仿宋_GB2312"/>
          <w:b/>
          <w:bCs/>
          <w:kern w:val="44"/>
          <w:sz w:val="44"/>
          <w:szCs w:val="44"/>
          <w:highlight w:val="none"/>
        </w:rPr>
        <w:t>目</w:t>
      </w:r>
      <w:r>
        <w:rPr>
          <w:rFonts w:ascii="仿宋_GB2312" w:hAnsi="仿宋_GB2312" w:eastAsia="仿宋_GB2312" w:cs="仿宋_GB2312"/>
          <w:b/>
          <w:bCs/>
          <w:kern w:val="44"/>
          <w:sz w:val="44"/>
          <w:szCs w:val="44"/>
          <w:highlight w:val="none"/>
        </w:rPr>
        <w:t xml:space="preserve">  </w:t>
      </w:r>
      <w:r>
        <w:rPr>
          <w:rFonts w:hint="eastAsia" w:ascii="仿宋_GB2312" w:hAnsi="仿宋_GB2312" w:eastAsia="仿宋_GB2312" w:cs="仿宋_GB2312"/>
          <w:b/>
          <w:bCs/>
          <w:kern w:val="44"/>
          <w:sz w:val="44"/>
          <w:szCs w:val="44"/>
          <w:highlight w:val="none"/>
        </w:rPr>
        <w:t>录</w:t>
      </w:r>
      <w:bookmarkEnd w:id="326"/>
      <w:bookmarkEnd w:id="327"/>
      <w:bookmarkEnd w:id="328"/>
      <w:bookmarkEnd w:id="329"/>
      <w:bookmarkEnd w:id="330"/>
      <w:bookmarkEnd w:id="331"/>
      <w:bookmarkEnd w:id="332"/>
      <w:bookmarkEnd w:id="333"/>
      <w:bookmarkEnd w:id="334"/>
      <w:bookmarkEnd w:id="335"/>
      <w:bookmarkEnd w:id="336"/>
      <w:bookmarkEnd w:id="337"/>
      <w:bookmarkEnd w:id="338"/>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一、报价函</w:t>
      </w: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二、报价表</w:t>
      </w: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三、供应商法定代表人身份证明书（格式）</w:t>
      </w: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四、供应商法定代表人授权委托书（格式）</w:t>
      </w: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五、资质文件</w:t>
      </w:r>
    </w:p>
    <w:p>
      <w:pPr>
        <w:spacing w:line="560" w:lineRule="exact"/>
        <w:rPr>
          <w:rFonts w:hint="eastAsia" w:ascii="仿宋_GB2312" w:eastAsia="仿宋_GB2312"/>
          <w:sz w:val="32"/>
          <w:szCs w:val="32"/>
          <w:highlight w:val="none"/>
        </w:rPr>
      </w:pP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其他文件</w:t>
      </w:r>
    </w:p>
    <w:p>
      <w:pPr>
        <w:spacing w:line="560" w:lineRule="exact"/>
        <w:jc w:val="left"/>
        <w:outlineLvl w:val="9"/>
        <w:rPr>
          <w:rFonts w:hint="eastAsia" w:ascii="仿宋_GB2312" w:hAnsi="Times New Roman" w:eastAsia="仿宋_GB2312" w:cs="Times New Roman"/>
          <w:b w:val="0"/>
          <w:bCs w:val="0"/>
          <w:kern w:val="2"/>
          <w:sz w:val="32"/>
          <w:szCs w:val="32"/>
          <w:highlight w:val="none"/>
        </w:rPr>
      </w:pPr>
      <w:r>
        <w:rPr>
          <w:rFonts w:hint="eastAsia" w:ascii="仿宋_GB2312" w:eastAsia="仿宋_GB2312" w:cs="Times New Roman"/>
          <w:b w:val="0"/>
          <w:bCs w:val="0"/>
          <w:kern w:val="2"/>
          <w:sz w:val="32"/>
          <w:szCs w:val="32"/>
          <w:highlight w:val="none"/>
          <w:lang w:val="en-US" w:eastAsia="zh-CN"/>
        </w:rPr>
        <w:t>七</w:t>
      </w:r>
      <w:r>
        <w:rPr>
          <w:rFonts w:hint="eastAsia" w:ascii="仿宋_GB2312" w:hAnsi="Times New Roman" w:eastAsia="仿宋_GB2312" w:cs="Times New Roman"/>
          <w:b w:val="0"/>
          <w:bCs w:val="0"/>
          <w:kern w:val="2"/>
          <w:sz w:val="32"/>
          <w:szCs w:val="32"/>
          <w:highlight w:val="none"/>
        </w:rPr>
        <w:t>、供应商廉政保证书</w:t>
      </w:r>
    </w:p>
    <w:p>
      <w:pPr>
        <w:pageBreakBefore/>
        <w:spacing w:line="560" w:lineRule="exact"/>
        <w:jc w:val="center"/>
        <w:outlineLvl w:val="0"/>
        <w:rPr>
          <w:rFonts w:hint="eastAsia" w:ascii="仿宋_GB2312" w:hAnsi="仿宋_GB2312" w:eastAsia="仿宋_GB2312" w:cs="仿宋_GB2312"/>
          <w:b/>
          <w:bCs/>
          <w:kern w:val="44"/>
          <w:sz w:val="44"/>
          <w:szCs w:val="44"/>
          <w:highlight w:val="none"/>
        </w:rPr>
      </w:pPr>
      <w:bookmarkStart w:id="339" w:name="_Toc2906"/>
      <w:bookmarkStart w:id="340" w:name="_Toc16722"/>
      <w:bookmarkStart w:id="341" w:name="_Toc534883409"/>
      <w:bookmarkStart w:id="342" w:name="_Toc19055"/>
      <w:bookmarkStart w:id="343" w:name="_Toc317"/>
      <w:bookmarkStart w:id="344" w:name="_Toc32112"/>
      <w:bookmarkStart w:id="345" w:name="_Toc9294"/>
      <w:bookmarkStart w:id="346" w:name="_Toc969"/>
      <w:bookmarkStart w:id="347" w:name="_Toc21265"/>
      <w:bookmarkStart w:id="348" w:name="_Toc122750652"/>
      <w:bookmarkStart w:id="349" w:name="_Toc15079"/>
      <w:bookmarkStart w:id="350" w:name="_Toc24450"/>
      <w:bookmarkStart w:id="351" w:name="_Toc409439698"/>
      <w:bookmarkStart w:id="352" w:name="_Toc25313"/>
      <w:bookmarkStart w:id="353" w:name="_Toc508286687"/>
      <w:bookmarkStart w:id="354" w:name="_Toc14919"/>
      <w:bookmarkStart w:id="355" w:name="_Toc18384"/>
      <w:bookmarkStart w:id="356" w:name="_Toc6010"/>
      <w:bookmarkStart w:id="357" w:name="_Toc534883367"/>
      <w:r>
        <w:rPr>
          <w:rFonts w:hint="eastAsia" w:ascii="仿宋_GB2312" w:hAnsi="仿宋_GB2312" w:eastAsia="仿宋_GB2312" w:cs="仿宋_GB2312"/>
          <w:b/>
          <w:bCs/>
          <w:kern w:val="44"/>
          <w:sz w:val="44"/>
          <w:szCs w:val="44"/>
          <w:highlight w:val="none"/>
        </w:rPr>
        <w:t>一、报 价 函</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福路通资源循环（福建）集团有限公司</w:t>
      </w:r>
      <w:r>
        <w:rPr>
          <w:rFonts w:hint="eastAsia" w:ascii="仿宋_GB2312" w:eastAsia="仿宋_GB2312"/>
          <w:sz w:val="32"/>
          <w:szCs w:val="32"/>
          <w:highlight w:val="none"/>
        </w:rPr>
        <w:t>：</w:t>
      </w:r>
    </w:p>
    <w:p>
      <w:pPr>
        <w:spacing w:line="560" w:lineRule="exact"/>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我方获悉贵单位需询价采购</w:t>
      </w:r>
      <w:r>
        <w:rPr>
          <w:rFonts w:hint="eastAsia" w:ascii="仿宋_GB2312" w:eastAsia="仿宋_GB2312"/>
          <w:sz w:val="32"/>
          <w:szCs w:val="32"/>
          <w:highlight w:val="none"/>
          <w:u w:val="single"/>
          <w:lang w:eastAsia="zh-CN"/>
        </w:rPr>
        <w:t>宁德地区旋转桶式活动护栏原材料</w:t>
      </w:r>
      <w:r>
        <w:rPr>
          <w:rFonts w:hint="eastAsia" w:ascii="仿宋_GB2312" w:eastAsia="仿宋_GB2312"/>
          <w:sz w:val="32"/>
          <w:szCs w:val="32"/>
          <w:highlight w:val="none"/>
        </w:rPr>
        <w:t>，经详细研究询价采购文件，决定参加该询价采购项目的报价。</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1.我方全面研究了询价采购文件，并能够正确理解和接受其全部内容。我方根据询价采购文件中的各项要求，对所询价采购</w:t>
      </w:r>
      <w:r>
        <w:rPr>
          <w:rFonts w:hint="eastAsia" w:ascii="仿宋_GB2312" w:eastAsia="仿宋_GB2312"/>
          <w:sz w:val="32"/>
          <w:szCs w:val="32"/>
          <w:highlight w:val="none"/>
          <w:lang w:eastAsia="zh-CN"/>
        </w:rPr>
        <w:t>宁德地区旋转桶式活动护栏原材料，</w:t>
      </w:r>
      <w:r>
        <w:rPr>
          <w:rFonts w:hint="eastAsia" w:ascii="仿宋_GB2312" w:eastAsia="仿宋_GB2312"/>
          <w:sz w:val="32"/>
          <w:szCs w:val="32"/>
          <w:highlight w:val="none"/>
          <w:lang w:val="en-US" w:eastAsia="zh-CN"/>
        </w:rPr>
        <w:t>我方愿以人民币</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（大写</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）元费用价完成</w:t>
      </w:r>
      <w:r>
        <w:rPr>
          <w:rFonts w:hint="eastAsia" w:ascii="仿宋_GB2312" w:eastAsia="仿宋_GB2312"/>
          <w:sz w:val="32"/>
          <w:szCs w:val="32"/>
          <w:highlight w:val="none"/>
          <w:lang w:val="en-US" w:eastAsia="zh-CN"/>
        </w:rPr>
        <w:t>购销</w:t>
      </w:r>
      <w:r>
        <w:rPr>
          <w:rFonts w:hint="eastAsia" w:ascii="仿宋_GB2312" w:eastAsia="仿宋_GB2312"/>
          <w:sz w:val="32"/>
          <w:szCs w:val="32"/>
          <w:highlight w:val="none"/>
        </w:rPr>
        <w:t>服务。</w:t>
      </w:r>
    </w:p>
    <w:p>
      <w:pPr>
        <w:spacing w:line="560" w:lineRule="exact"/>
        <w:ind w:firstLine="640" w:firstLineChars="200"/>
        <w:rPr>
          <w:rFonts w:ascii="仿宋_GB2312" w:eastAsia="仿宋_GB2312"/>
          <w:sz w:val="32"/>
          <w:szCs w:val="32"/>
          <w:highlight w:val="none"/>
        </w:rPr>
      </w:pPr>
      <w:bookmarkStart w:id="358" w:name="_Toc8363"/>
      <w:bookmarkStart w:id="359" w:name="_Toc10539"/>
      <w:r>
        <w:rPr>
          <w:rFonts w:hint="eastAsia" w:ascii="仿宋_GB2312" w:eastAsia="仿宋_GB2312"/>
          <w:sz w:val="32"/>
          <w:szCs w:val="32"/>
          <w:highlight w:val="none"/>
        </w:rPr>
        <w:t>2.我方现提交的响应文件为：响应文件正本一份，副本一份。</w:t>
      </w:r>
      <w:bookmarkEnd w:id="358"/>
      <w:bookmarkEnd w:id="359"/>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3.我方完全同意询价采购文件中规定的评审办法；愿意自行承担我方在参与此次报价活动过程中所发生的一切费用。</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4.如果我方中选成交，我方将履行询价采购文件中规定的各项要求，按《中华人民共和国民法典》和合同约定条款承担我方的责任。</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5.我方愿意接收询价采购人在询价采购文件中要求的所有资料，并对其真实性负责。</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供应商法定代表人               供应商：（公章）</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或其授权委托人：（签字） </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地址： </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电话：                    日期：2025年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w:t>
      </w:r>
    </w:p>
    <w:p>
      <w:pPr>
        <w:keepNext/>
        <w:keepLines/>
        <w:widowControl w:val="0"/>
        <w:tabs>
          <w:tab w:val="left" w:pos="720"/>
        </w:tabs>
        <w:spacing w:before="260" w:after="260" w:line="560" w:lineRule="exact"/>
        <w:jc w:val="both"/>
        <w:outlineLvl w:val="9"/>
        <w:rPr>
          <w:rFonts w:hint="eastAsia" w:ascii="宋体" w:hAnsi="宋体" w:eastAsia="宋体" w:cs="Times New Roman"/>
          <w:b/>
          <w:bCs/>
          <w:kern w:val="0"/>
          <w:sz w:val="28"/>
          <w:szCs w:val="32"/>
          <w:highlight w:val="none"/>
          <w:lang w:val="en-US" w:eastAsia="zh-CN" w:bidi="ar-SA"/>
        </w:rPr>
        <w:sectPr>
          <w:footerReference r:id="rId4" w:type="default"/>
          <w:pgSz w:w="11906" w:h="16838"/>
          <w:pgMar w:top="1701" w:right="1474" w:bottom="1134" w:left="1588" w:header="851" w:footer="992" w:gutter="0"/>
          <w:pgNumType w:fmt="numberInDash"/>
          <w:cols w:space="720" w:num="1"/>
          <w:docGrid w:type="lines" w:linePitch="312" w:charSpace="0"/>
        </w:sectPr>
      </w:pPr>
      <w:bookmarkStart w:id="360" w:name="_Toc508286688"/>
      <w:bookmarkStart w:id="361" w:name="_Toc534883368"/>
      <w:bookmarkStart w:id="362" w:name="_Toc409439699"/>
      <w:bookmarkStart w:id="363" w:name="_Toc122257631"/>
      <w:bookmarkStart w:id="364" w:name="_Toc534883410"/>
      <w:bookmarkStart w:id="365" w:name="_Toc122750653"/>
    </w:p>
    <w:bookmarkEnd w:id="360"/>
    <w:bookmarkEnd w:id="361"/>
    <w:bookmarkEnd w:id="362"/>
    <w:bookmarkEnd w:id="363"/>
    <w:bookmarkEnd w:id="364"/>
    <w:bookmarkEnd w:id="365"/>
    <w:p>
      <w:pPr>
        <w:keepNext w:val="0"/>
        <w:keepLines w:val="0"/>
        <w:pageBreakBefore/>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kern w:val="44"/>
          <w:sz w:val="44"/>
          <w:szCs w:val="44"/>
          <w:highlight w:val="none"/>
        </w:rPr>
      </w:pPr>
      <w:bookmarkStart w:id="366" w:name="_Toc3187"/>
      <w:bookmarkStart w:id="367" w:name="_Toc16574"/>
      <w:bookmarkStart w:id="368" w:name="_Toc2099"/>
      <w:bookmarkStart w:id="369" w:name="_Toc23211"/>
      <w:bookmarkStart w:id="370" w:name="_Toc9680"/>
      <w:bookmarkStart w:id="371" w:name="_Toc31915"/>
      <w:bookmarkStart w:id="372" w:name="_Toc5375"/>
      <w:bookmarkStart w:id="373" w:name="_Toc16543"/>
      <w:bookmarkStart w:id="374" w:name="_Toc16674"/>
      <w:bookmarkStart w:id="375" w:name="_Toc28199"/>
      <w:bookmarkStart w:id="376" w:name="_Toc12979"/>
      <w:bookmarkStart w:id="377" w:name="_Toc13378"/>
      <w:bookmarkStart w:id="378" w:name="_Toc23506"/>
      <w:bookmarkStart w:id="379" w:name="_Toc28569"/>
      <w:r>
        <w:rPr>
          <w:rFonts w:hint="eastAsia" w:ascii="仿宋_GB2312" w:hAnsi="仿宋_GB2312" w:eastAsia="仿宋_GB2312" w:cs="仿宋_GB2312"/>
          <w:b/>
          <w:bCs/>
          <w:kern w:val="44"/>
          <w:sz w:val="44"/>
          <w:szCs w:val="44"/>
          <w:highlight w:val="none"/>
          <w:lang w:val="en-US" w:eastAsia="zh-CN" w:bidi="ar-SA"/>
        </w:rPr>
        <w:t>二、</w:t>
      </w:r>
      <w:r>
        <w:rPr>
          <w:rFonts w:hint="eastAsia" w:ascii="仿宋_GB2312" w:hAnsi="仿宋_GB2312" w:eastAsia="仿宋_GB2312" w:cs="仿宋_GB2312"/>
          <w:b/>
          <w:bCs/>
          <w:kern w:val="44"/>
          <w:sz w:val="44"/>
          <w:szCs w:val="44"/>
          <w:highlight w:val="none"/>
        </w:rPr>
        <w:t>报 价 表</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Start w:id="380" w:name="_Toc409439700"/>
      <w:bookmarkStart w:id="381" w:name="_Toc122257633"/>
      <w:bookmarkStart w:id="382" w:name="_Toc287002972"/>
      <w:bookmarkStart w:id="383" w:name="_Toc122750655"/>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32"/>
          <w:szCs w:val="32"/>
          <w:highlight w:val="none"/>
        </w:rPr>
      </w:pPr>
    </w:p>
    <w:tbl>
      <w:tblPr>
        <w:tblStyle w:val="31"/>
        <w:tblW w:w="5000" w:type="pct"/>
        <w:jc w:val="center"/>
        <w:tblLayout w:type="autofit"/>
        <w:tblCellMar>
          <w:top w:w="0" w:type="dxa"/>
          <w:left w:w="108" w:type="dxa"/>
          <w:bottom w:w="0" w:type="dxa"/>
          <w:right w:w="108" w:type="dxa"/>
        </w:tblCellMar>
      </w:tblPr>
      <w:tblGrid>
        <w:gridCol w:w="711"/>
        <w:gridCol w:w="2512"/>
        <w:gridCol w:w="705"/>
        <w:gridCol w:w="1314"/>
        <w:gridCol w:w="1335"/>
        <w:gridCol w:w="1316"/>
        <w:gridCol w:w="1337"/>
      </w:tblGrid>
      <w:tr>
        <w:tblPrEx>
          <w:tblCellMar>
            <w:top w:w="0" w:type="dxa"/>
            <w:left w:w="108" w:type="dxa"/>
            <w:bottom w:w="0" w:type="dxa"/>
            <w:right w:w="108" w:type="dxa"/>
          </w:tblCellMar>
        </w:tblPrEx>
        <w:trPr>
          <w:trHeight w:val="567" w:hRule="atLeast"/>
          <w:jc w:val="center"/>
        </w:trPr>
        <w:tc>
          <w:tcPr>
            <w:tcW w:w="5000" w:type="pct"/>
            <w:gridSpan w:val="7"/>
            <w:tcBorders>
              <w:top w:val="nil"/>
              <w:left w:val="nil"/>
              <w:bottom w:val="single" w:color="000000" w:sz="8" w:space="0"/>
              <w:right w:val="nil"/>
            </w:tcBorders>
            <w:noWrap w:val="0"/>
            <w:vAlign w:val="center"/>
          </w:tcPr>
          <w:p>
            <w:pPr>
              <w:widowControl/>
              <w:jc w:val="center"/>
              <w:textAlignment w:val="center"/>
              <w:rPr>
                <w:rFonts w:hint="eastAsia" w:ascii="仿宋_GB2312" w:hAnsi="仿宋_GB2312" w:eastAsia="仿宋_GB2312" w:cs="仿宋_GB2312"/>
                <w:b/>
                <w:bCs/>
                <w:color w:val="000000"/>
                <w:sz w:val="32"/>
                <w:szCs w:val="32"/>
                <w:highlight w:val="none"/>
                <w:lang w:val="en-US" w:eastAsia="zh-CN"/>
              </w:rPr>
            </w:pPr>
          </w:p>
        </w:tc>
      </w:tr>
      <w:tr>
        <w:tblPrEx>
          <w:tblCellMar>
            <w:top w:w="0" w:type="dxa"/>
            <w:left w:w="108" w:type="dxa"/>
            <w:bottom w:w="0" w:type="dxa"/>
            <w:right w:w="108" w:type="dxa"/>
          </w:tblCellMar>
        </w:tblPrEx>
        <w:trPr>
          <w:trHeight w:val="1124" w:hRule="atLeast"/>
          <w:jc w:val="center"/>
        </w:trPr>
        <w:tc>
          <w:tcPr>
            <w:tcW w:w="385" w:type="pct"/>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序号</w:t>
            </w:r>
          </w:p>
        </w:tc>
        <w:tc>
          <w:tcPr>
            <w:tcW w:w="136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工程或费用名称</w:t>
            </w:r>
          </w:p>
        </w:tc>
        <w:tc>
          <w:tcPr>
            <w:tcW w:w="38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单位</w:t>
            </w:r>
          </w:p>
        </w:tc>
        <w:tc>
          <w:tcPr>
            <w:tcW w:w="71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工程数量</w:t>
            </w:r>
          </w:p>
        </w:tc>
        <w:tc>
          <w:tcPr>
            <w:tcW w:w="72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单价（元</w:t>
            </w:r>
            <w:r>
              <w:rPr>
                <w:rFonts w:hint="eastAsia" w:ascii="仿宋_GB2312" w:hAnsi="仿宋_GB2312" w:eastAsia="仿宋_GB2312" w:cs="仿宋_GB2312"/>
                <w:color w:val="000000"/>
                <w:kern w:val="0"/>
                <w:sz w:val="32"/>
                <w:szCs w:val="32"/>
                <w:highlight w:val="none"/>
                <w:lang w:val="en-US" w:eastAsia="zh-CN" w:bidi="ar"/>
              </w:rPr>
              <w:t>/米</w:t>
            </w:r>
            <w:r>
              <w:rPr>
                <w:rFonts w:hint="eastAsia" w:ascii="仿宋_GB2312" w:hAnsi="仿宋_GB2312" w:eastAsia="仿宋_GB2312" w:cs="仿宋_GB2312"/>
                <w:color w:val="000000"/>
                <w:kern w:val="0"/>
                <w:sz w:val="32"/>
                <w:szCs w:val="32"/>
                <w:highlight w:val="none"/>
                <w:lang w:bidi="ar"/>
              </w:rPr>
              <w:t>）</w:t>
            </w:r>
          </w:p>
        </w:tc>
        <w:tc>
          <w:tcPr>
            <w:tcW w:w="71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总</w:t>
            </w:r>
            <w:r>
              <w:rPr>
                <w:rFonts w:hint="eastAsia" w:ascii="仿宋_GB2312" w:hAnsi="仿宋_GB2312" w:eastAsia="仿宋_GB2312" w:cs="仿宋_GB2312"/>
                <w:color w:val="000000"/>
                <w:kern w:val="0"/>
                <w:sz w:val="32"/>
                <w:szCs w:val="32"/>
                <w:highlight w:val="none"/>
                <w:lang w:bidi="ar"/>
              </w:rPr>
              <w:t>金额（元）</w:t>
            </w:r>
          </w:p>
        </w:tc>
        <w:tc>
          <w:tcPr>
            <w:tcW w:w="72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备注</w:t>
            </w:r>
          </w:p>
        </w:tc>
      </w:tr>
      <w:tr>
        <w:tblPrEx>
          <w:tblCellMar>
            <w:top w:w="0" w:type="dxa"/>
            <w:left w:w="108" w:type="dxa"/>
            <w:bottom w:w="0" w:type="dxa"/>
            <w:right w:w="108" w:type="dxa"/>
          </w:tblCellMar>
        </w:tblPrEx>
        <w:trPr>
          <w:trHeight w:val="1091" w:hRule="atLeast"/>
          <w:jc w:val="center"/>
        </w:trPr>
        <w:tc>
          <w:tcPr>
            <w:tcW w:w="385" w:type="pc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bidi="ar"/>
              </w:rPr>
              <w:t>1</w:t>
            </w:r>
          </w:p>
        </w:tc>
        <w:tc>
          <w:tcPr>
            <w:tcW w:w="136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sz w:val="21"/>
                <w:szCs w:val="21"/>
                <w:highlight w:val="none"/>
                <w:lang w:eastAsia="zh-CN"/>
              </w:rPr>
              <w:t>宁德地区旋转桶式活动护栏原材料</w:t>
            </w:r>
          </w:p>
        </w:tc>
        <w:tc>
          <w:tcPr>
            <w:tcW w:w="38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米</w:t>
            </w:r>
          </w:p>
        </w:tc>
        <w:tc>
          <w:tcPr>
            <w:tcW w:w="71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2500</w:t>
            </w:r>
          </w:p>
        </w:tc>
        <w:tc>
          <w:tcPr>
            <w:tcW w:w="72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val="en-US" w:eastAsia="zh-CN"/>
              </w:rPr>
            </w:pPr>
          </w:p>
        </w:tc>
        <w:tc>
          <w:tcPr>
            <w:tcW w:w="71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p>
        </w:tc>
        <w:tc>
          <w:tcPr>
            <w:tcW w:w="722" w:type="pc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color w:val="000000"/>
                <w:sz w:val="32"/>
                <w:szCs w:val="32"/>
                <w:highlight w:val="none"/>
              </w:rPr>
            </w:pPr>
          </w:p>
        </w:tc>
      </w:tr>
      <w:tr>
        <w:tblPrEx>
          <w:tblCellMar>
            <w:top w:w="0" w:type="dxa"/>
            <w:left w:w="108" w:type="dxa"/>
            <w:bottom w:w="0" w:type="dxa"/>
            <w:right w:w="108" w:type="dxa"/>
          </w:tblCellMar>
        </w:tblPrEx>
        <w:trPr>
          <w:trHeight w:val="567" w:hRule="atLeast"/>
          <w:jc w:val="center"/>
        </w:trPr>
        <w:tc>
          <w:tcPr>
            <w:tcW w:w="3563" w:type="pct"/>
            <w:gridSpan w:val="5"/>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合计（含13%增值税）</w:t>
            </w:r>
          </w:p>
        </w:tc>
        <w:tc>
          <w:tcPr>
            <w:tcW w:w="71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p>
        </w:tc>
        <w:tc>
          <w:tcPr>
            <w:tcW w:w="722" w:type="pc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color w:val="000000"/>
                <w:sz w:val="32"/>
                <w:szCs w:val="32"/>
                <w:highlight w:val="none"/>
              </w:rPr>
            </w:pPr>
          </w:p>
        </w:tc>
      </w:tr>
      <w:tr>
        <w:tblPrEx>
          <w:tblCellMar>
            <w:top w:w="0" w:type="dxa"/>
            <w:left w:w="108" w:type="dxa"/>
            <w:bottom w:w="0" w:type="dxa"/>
            <w:right w:w="108" w:type="dxa"/>
          </w:tblCellMar>
        </w:tblPrEx>
        <w:trPr>
          <w:trHeight w:val="567" w:hRule="atLeast"/>
          <w:jc w:val="center"/>
        </w:trPr>
        <w:tc>
          <w:tcPr>
            <w:tcW w:w="5000" w:type="pct"/>
            <w:gridSpan w:val="7"/>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bidi="ar"/>
              </w:rPr>
              <w:t>备注：</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包含直接费用、间接费用、税收等一切相关费用。</w:t>
            </w:r>
          </w:p>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2.</w:t>
            </w:r>
            <w:r>
              <w:rPr>
                <w:rFonts w:hint="eastAsia" w:ascii="仿宋_GB2312" w:hAnsi="仿宋_GB2312" w:eastAsia="仿宋_GB2312" w:cs="仿宋_GB2312"/>
                <w:b w:val="0"/>
                <w:bCs w:val="0"/>
                <w:color w:val="000000"/>
                <w:kern w:val="0"/>
                <w:sz w:val="24"/>
                <w:szCs w:val="24"/>
                <w:highlight w:val="none"/>
                <w:lang w:bidi="ar"/>
              </w:rPr>
              <w:t xml:space="preserve">协作服务采用单价报价与总价报价分别都不得超过本次协作的控制单价与控制总价的方式进行采购。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本项目为</w:t>
            </w:r>
            <w:r>
              <w:rPr>
                <w:rFonts w:hint="eastAsia" w:ascii="仿宋_GB2312" w:hAnsi="仿宋_GB2312" w:eastAsia="仿宋_GB2312" w:cs="仿宋_GB2312"/>
                <w:b w:val="0"/>
                <w:bCs w:val="0"/>
                <w:color w:val="000000"/>
                <w:kern w:val="0"/>
                <w:sz w:val="24"/>
                <w:szCs w:val="24"/>
                <w:highlight w:val="none"/>
                <w:lang w:eastAsia="zh-CN" w:bidi="ar"/>
              </w:rPr>
              <w:t>单价</w:t>
            </w:r>
            <w:r>
              <w:rPr>
                <w:rFonts w:hint="eastAsia" w:ascii="仿宋_GB2312" w:hAnsi="仿宋_GB2312" w:eastAsia="仿宋_GB2312" w:cs="仿宋_GB2312"/>
                <w:b w:val="0"/>
                <w:bCs w:val="0"/>
                <w:color w:val="000000"/>
                <w:kern w:val="0"/>
                <w:sz w:val="24"/>
                <w:szCs w:val="24"/>
                <w:highlight w:val="none"/>
                <w:lang w:bidi="ar"/>
              </w:rPr>
              <w:t>合同，结算数量以实际完成并经现场验收合格数量为准。如有路段新增</w:t>
            </w:r>
            <w:r>
              <w:rPr>
                <w:rFonts w:hint="eastAsia" w:ascii="仿宋_GB2312" w:hAnsi="仿宋_GB2312" w:eastAsia="仿宋_GB2312" w:cs="仿宋_GB2312"/>
                <w:b w:val="0"/>
                <w:bCs w:val="0"/>
                <w:color w:val="000000"/>
                <w:kern w:val="0"/>
                <w:sz w:val="24"/>
                <w:szCs w:val="24"/>
                <w:highlight w:val="none"/>
                <w:lang w:val="en-US" w:eastAsia="zh-CN" w:bidi="ar"/>
              </w:rPr>
              <w:t>数量</w:t>
            </w:r>
            <w:r>
              <w:rPr>
                <w:rFonts w:hint="eastAsia" w:ascii="仿宋_GB2312" w:hAnsi="仿宋_GB2312" w:eastAsia="仿宋_GB2312" w:cs="仿宋_GB2312"/>
                <w:b w:val="0"/>
                <w:bCs w:val="0"/>
                <w:color w:val="000000"/>
                <w:kern w:val="0"/>
                <w:sz w:val="24"/>
                <w:szCs w:val="24"/>
                <w:highlight w:val="none"/>
                <w:lang w:bidi="ar"/>
              </w:rPr>
              <w:t>按本项目单价，以实际完成数量经验收合格数量为准。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安全生产专项费用、工伤保险费等应满足国家相关规定费用要求。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5.</w:t>
            </w:r>
            <w:r>
              <w:rPr>
                <w:rFonts w:hint="eastAsia" w:ascii="仿宋_GB2312" w:hAnsi="仿宋_GB2312" w:eastAsia="仿宋_GB2312" w:cs="仿宋_GB2312"/>
                <w:bCs/>
                <w:sz w:val="24"/>
                <w:szCs w:val="24"/>
                <w:highlight w:val="none"/>
              </w:rPr>
              <w:t>总采购费用应包括原材料采购完成后运输至宁德古田</w:t>
            </w:r>
            <w:r>
              <w:rPr>
                <w:rFonts w:hint="eastAsia" w:ascii="仿宋_GB2312" w:hAnsi="仿宋_GB2312" w:eastAsia="仿宋_GB2312" w:cs="仿宋_GB2312"/>
                <w:bCs/>
                <w:sz w:val="24"/>
                <w:szCs w:val="24"/>
                <w:highlight w:val="none"/>
                <w:lang w:val="en-US" w:eastAsia="zh-CN"/>
              </w:rPr>
              <w:t>的费用，采购原材料应完成除滚筒外其余部件的拼装，该批次原材料不含过渡段与滚筒，供货方应将除滚筒外其余材料拼装完成发货至宁德古田。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6.</w:t>
            </w:r>
            <w:r>
              <w:rPr>
                <w:rFonts w:hint="eastAsia" w:ascii="仿宋_GB2312" w:hAnsi="仿宋_GB2312" w:eastAsia="仿宋_GB2312" w:cs="仿宋_GB2312"/>
                <w:bCs/>
                <w:sz w:val="24"/>
                <w:szCs w:val="24"/>
                <w:highlight w:val="none"/>
              </w:rPr>
              <w:t>本项目为单价合同，结算数量以实际完成并经现场验收合格数量为准。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Cs/>
                <w:sz w:val="24"/>
                <w:szCs w:val="24"/>
                <w:highlight w:val="none"/>
                <w:lang w:val="en-US" w:eastAsia="zh-CN"/>
              </w:rPr>
              <w:t>7.</w:t>
            </w:r>
            <w:r>
              <w:rPr>
                <w:rFonts w:hint="eastAsia" w:ascii="仿宋_GB2312" w:hAnsi="仿宋_GB2312" w:eastAsia="仿宋_GB2312" w:cs="仿宋_GB2312"/>
                <w:color w:val="000000"/>
                <w:kern w:val="2"/>
                <w:sz w:val="24"/>
                <w:szCs w:val="24"/>
                <w:highlight w:val="none"/>
                <w:lang w:val="en-US" w:eastAsia="zh-CN" w:bidi="ar-SA"/>
              </w:rPr>
              <w:t xml:space="preserve">原材料所包含的调节段，固定段，标准段，加强段，以采购方通知为准。 </w:t>
            </w:r>
          </w:p>
        </w:tc>
      </w:tr>
    </w:tbl>
    <w:p>
      <w:pPr>
        <w:pStyle w:val="77"/>
        <w:keepLines w:val="0"/>
        <w:spacing w:before="0" w:after="0" w:line="560" w:lineRule="exact"/>
        <w:ind w:left="0" w:firstLine="0"/>
        <w:jc w:val="both"/>
        <w:outlineLvl w:val="9"/>
        <w:rPr>
          <w:rFonts w:hint="eastAsia" w:ascii="仿宋" w:hAnsi="仿宋" w:eastAsia="仿宋" w:cs="仿宋"/>
          <w:szCs w:val="32"/>
          <w:highlight w:val="none"/>
        </w:rPr>
      </w:pPr>
      <w:bookmarkStart w:id="384" w:name="_Toc500757156"/>
      <w:bookmarkStart w:id="385" w:name="_Toc500340445"/>
      <w:bookmarkStart w:id="386" w:name="_Toc501008753"/>
    </w:p>
    <w:p>
      <w:pPr>
        <w:pStyle w:val="77"/>
        <w:keepLines w:val="0"/>
        <w:spacing w:before="0" w:after="0" w:line="560" w:lineRule="exact"/>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r>
        <w:rPr>
          <w:rFonts w:hint="eastAsia" w:ascii="仿宋_GB2312" w:eastAsia="仿宋_GB2312"/>
          <w:szCs w:val="32"/>
          <w:highlight w:val="none"/>
        </w:rPr>
        <w:t xml:space="preserve">   </w:t>
      </w:r>
      <w:bookmarkStart w:id="387" w:name="_Toc20079"/>
      <w:r>
        <w:rPr>
          <w:rFonts w:hint="eastAsia" w:ascii="仿宋_GB2312" w:hAnsi="仿宋_GB2312" w:eastAsia="仿宋_GB2312" w:cs="仿宋_GB2312"/>
          <w:szCs w:val="32"/>
          <w:highlight w:val="none"/>
        </w:rPr>
        <w:t>供应商名称（全称并加盖公章）：</w:t>
      </w:r>
      <w:bookmarkEnd w:id="387"/>
      <w:r>
        <w:rPr>
          <w:rFonts w:hint="eastAsia" w:ascii="仿宋_GB2312" w:hAnsi="仿宋_GB2312" w:eastAsia="仿宋_GB2312" w:cs="仿宋_GB2312"/>
          <w:szCs w:val="32"/>
          <w:highlight w:val="none"/>
        </w:rPr>
        <w:t xml:space="preserve"> </w:t>
      </w:r>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388" w:name="_Toc17238"/>
      <w:r>
        <w:rPr>
          <w:rFonts w:hint="eastAsia" w:ascii="仿宋_GB2312" w:hAnsi="仿宋_GB2312" w:eastAsia="仿宋_GB2312" w:cs="仿宋_GB2312"/>
          <w:szCs w:val="32"/>
          <w:highlight w:val="none"/>
        </w:rPr>
        <w:t>供应商代表签字：</w:t>
      </w:r>
      <w:bookmarkEnd w:id="388"/>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389" w:name="_Toc7295"/>
      <w:r>
        <w:rPr>
          <w:rFonts w:hint="eastAsia" w:ascii="仿宋_GB2312" w:hAnsi="仿宋_GB2312" w:eastAsia="仿宋_GB2312" w:cs="仿宋_GB2312"/>
          <w:szCs w:val="32"/>
          <w:highlight w:val="none"/>
        </w:rPr>
        <w:t>日期：   年   月   日</w:t>
      </w:r>
      <w:bookmarkEnd w:id="389"/>
    </w:p>
    <w:bookmarkEnd w:id="384"/>
    <w:bookmarkEnd w:id="385"/>
    <w:bookmarkEnd w:id="386"/>
    <w:p>
      <w:pPr>
        <w:pStyle w:val="77"/>
        <w:keepLines w:val="0"/>
        <w:spacing w:before="0" w:after="0" w:line="560" w:lineRule="exact"/>
        <w:ind w:left="0" w:firstLine="4800" w:firstLineChars="1500"/>
        <w:jc w:val="both"/>
        <w:outlineLvl w:val="9"/>
        <w:rPr>
          <w:rFonts w:hint="eastAsia" w:ascii="仿宋_GB2312" w:hAnsi="仿宋_GB2312" w:eastAsia="仿宋_GB2312" w:cs="仿宋_GB2312"/>
          <w:szCs w:val="32"/>
          <w:highlight w:val="none"/>
        </w:rPr>
      </w:pPr>
    </w:p>
    <w:p>
      <w:pPr>
        <w:pStyle w:val="77"/>
        <w:keepLines w:val="0"/>
        <w:spacing w:before="0" w:after="0" w:line="560" w:lineRule="exact"/>
        <w:jc w:val="both"/>
        <w:outlineLvl w:val="9"/>
        <w:rPr>
          <w:rFonts w:hint="eastAsia" w:ascii="宋体" w:hAnsi="宋体" w:eastAsia="宋体"/>
          <w:sz w:val="21"/>
          <w:szCs w:val="21"/>
          <w:highlight w:val="none"/>
          <w:u w:val="single"/>
        </w:rPr>
        <w:sectPr>
          <w:pgSz w:w="11906" w:h="16838"/>
          <w:pgMar w:top="1418" w:right="1418" w:bottom="964" w:left="1474" w:header="851" w:footer="992" w:gutter="0"/>
          <w:pgNumType w:fmt="numberInDash"/>
          <w:cols w:space="720" w:num="1"/>
          <w:docGrid w:linePitch="312" w:charSpace="0"/>
        </w:sectPr>
      </w:pPr>
    </w:p>
    <w:bookmarkEnd w:id="380"/>
    <w:bookmarkEnd w:id="381"/>
    <w:bookmarkEnd w:id="382"/>
    <w:bookmarkEnd w:id="383"/>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eastAsia="黑体"/>
          <w:kern w:val="44"/>
          <w:sz w:val="32"/>
          <w:szCs w:val="44"/>
          <w:highlight w:val="none"/>
        </w:rPr>
      </w:pPr>
      <w:bookmarkStart w:id="390" w:name="_Toc20442"/>
      <w:bookmarkStart w:id="391" w:name="_Toc20059"/>
      <w:bookmarkStart w:id="392" w:name="_Toc23113"/>
      <w:bookmarkStart w:id="393" w:name="_Toc25725"/>
      <w:bookmarkStart w:id="394" w:name="_Toc18674"/>
      <w:bookmarkStart w:id="395" w:name="_Toc23747"/>
      <w:bookmarkStart w:id="396" w:name="_Toc508286689"/>
      <w:bookmarkStart w:id="397" w:name="_Toc4779"/>
      <w:bookmarkStart w:id="398" w:name="_Toc22675"/>
      <w:bookmarkStart w:id="399" w:name="_Toc3014"/>
      <w:bookmarkStart w:id="400" w:name="_Toc1153"/>
      <w:bookmarkStart w:id="401" w:name="_Toc279"/>
      <w:bookmarkStart w:id="402" w:name="_Toc10657"/>
      <w:bookmarkStart w:id="403" w:name="_Toc122257637"/>
      <w:bookmarkStart w:id="404" w:name="_Toc409439702"/>
      <w:bookmarkStart w:id="405" w:name="_Toc534883369"/>
      <w:bookmarkStart w:id="406" w:name="_Toc534883411"/>
      <w:bookmarkStart w:id="407" w:name="_Toc17766"/>
      <w:bookmarkStart w:id="408" w:name="_Toc122750660"/>
      <w:bookmarkStart w:id="409" w:name="_Toc22468"/>
      <w:r>
        <w:rPr>
          <w:rFonts w:hint="eastAsia" w:ascii="仿宋_GB2312" w:hAnsi="仿宋_GB2312" w:eastAsia="仿宋_GB2312" w:cs="仿宋_GB2312"/>
          <w:b/>
          <w:bCs/>
          <w:kern w:val="44"/>
          <w:sz w:val="44"/>
          <w:szCs w:val="44"/>
          <w:highlight w:val="none"/>
        </w:rPr>
        <w:t>三、供应商法定代表人身份证明书</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福路通资源循环（福建）集团有限公司</w:t>
      </w:r>
      <w:r>
        <w:rPr>
          <w:rFonts w:hint="eastAsia" w:ascii="仿宋_GB2312" w:eastAsia="仿宋_GB2312"/>
          <w:sz w:val="32"/>
          <w:szCs w:val="32"/>
          <w:highlight w:val="none"/>
        </w:rPr>
        <w:t>：</w:t>
      </w:r>
    </w:p>
    <w:p>
      <w:pPr>
        <w:spacing w:line="560" w:lineRule="exact"/>
        <w:ind w:firstLine="800" w:firstLineChars="250"/>
        <w:rPr>
          <w:rFonts w:ascii="仿宋_GB2312" w:eastAsia="仿宋_GB2312"/>
          <w:sz w:val="32"/>
          <w:szCs w:val="32"/>
          <w:highlight w:val="none"/>
          <w:u w:val="single"/>
        </w:rPr>
      </w:pPr>
    </w:p>
    <w:p>
      <w:pPr>
        <w:spacing w:line="560" w:lineRule="exact"/>
        <w:ind w:firstLine="960" w:firstLineChars="300"/>
        <w:rPr>
          <w:rFonts w:ascii="仿宋_GB2312" w:eastAsia="仿宋_GB2312"/>
          <w:sz w:val="32"/>
          <w:szCs w:val="32"/>
          <w:highlight w:val="none"/>
        </w:rPr>
      </w:pPr>
      <w:r>
        <w:rPr>
          <w:rFonts w:hint="eastAsia" w:ascii="仿宋_GB2312" w:eastAsia="仿宋_GB2312"/>
          <w:sz w:val="32"/>
          <w:szCs w:val="32"/>
          <w:highlight w:val="none"/>
          <w:u w:val="single"/>
        </w:rPr>
        <w:t>兹证明（法定代表人姓名，身份证号）</w:t>
      </w:r>
      <w:r>
        <w:rPr>
          <w:rFonts w:hint="eastAsia" w:ascii="仿宋_GB2312" w:eastAsia="仿宋_GB2312"/>
          <w:sz w:val="32"/>
          <w:szCs w:val="32"/>
          <w:highlight w:val="none"/>
        </w:rPr>
        <w:t>是</w:t>
      </w:r>
      <w:r>
        <w:rPr>
          <w:rFonts w:hint="eastAsia" w:ascii="仿宋_GB2312" w:eastAsia="仿宋_GB2312"/>
          <w:sz w:val="32"/>
          <w:szCs w:val="32"/>
          <w:highlight w:val="none"/>
          <w:u w:val="single"/>
        </w:rPr>
        <w:t xml:space="preserve">     （供应商名称）    </w:t>
      </w:r>
      <w:r>
        <w:rPr>
          <w:rFonts w:hint="eastAsia" w:ascii="仿宋_GB2312" w:eastAsia="仿宋_GB2312"/>
          <w:sz w:val="32"/>
          <w:szCs w:val="32"/>
          <w:highlight w:val="none"/>
        </w:rPr>
        <w:t>的法定代表人，在我司担任</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职务。</w:t>
      </w:r>
    </w:p>
    <w:p>
      <w:pPr>
        <w:spacing w:line="560" w:lineRule="exact"/>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特此证明。</w:t>
      </w:r>
    </w:p>
    <w:p>
      <w:pPr>
        <w:spacing w:line="560" w:lineRule="exact"/>
        <w:rPr>
          <w:rFonts w:ascii="仿宋_GB2312" w:eastAsia="仿宋_GB2312"/>
          <w:sz w:val="32"/>
          <w:szCs w:val="32"/>
          <w:highlight w:val="none"/>
        </w:rPr>
      </w:pPr>
    </w:p>
    <w:p>
      <w:pPr>
        <w:pStyle w:val="77"/>
        <w:keepLines w:val="0"/>
        <w:spacing w:before="0" w:after="0" w:line="560" w:lineRule="exact"/>
        <w:outlineLvl w:val="9"/>
        <w:rPr>
          <w:rFonts w:hint="eastAsia" w:ascii="仿宋_GB2312" w:hAnsi="仿宋_GB2312" w:eastAsia="仿宋_GB2312" w:cs="仿宋_GB2312"/>
          <w:szCs w:val="32"/>
          <w:highlight w:val="none"/>
        </w:rPr>
      </w:pPr>
      <w:r>
        <w:rPr>
          <w:rFonts w:hint="eastAsia" w:ascii="仿宋_GB2312" w:eastAsia="仿宋_GB2312"/>
          <w:szCs w:val="32"/>
          <w:highlight w:val="none"/>
        </w:rPr>
        <w:t xml:space="preserve">           </w:t>
      </w:r>
      <w:bookmarkStart w:id="410" w:name="_Toc1560"/>
      <w:r>
        <w:rPr>
          <w:rFonts w:hint="eastAsia" w:ascii="仿宋_GB2312" w:hAnsi="仿宋_GB2312" w:eastAsia="仿宋_GB2312" w:cs="仿宋_GB2312"/>
          <w:szCs w:val="32"/>
          <w:highlight w:val="none"/>
        </w:rPr>
        <w:t>供应商名称（全称并加盖公章）：</w:t>
      </w:r>
      <w:bookmarkEnd w:id="410"/>
      <w:r>
        <w:rPr>
          <w:rFonts w:hint="eastAsia" w:ascii="仿宋_GB2312" w:hAnsi="仿宋_GB2312" w:eastAsia="仿宋_GB2312" w:cs="仿宋_GB2312"/>
          <w:szCs w:val="32"/>
          <w:highlight w:val="none"/>
        </w:rPr>
        <w:t xml:space="preserve"> </w:t>
      </w:r>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411" w:name="_Toc21511"/>
      <w:r>
        <w:rPr>
          <w:rFonts w:hint="eastAsia" w:ascii="仿宋_GB2312" w:hAnsi="仿宋_GB2312" w:eastAsia="仿宋_GB2312" w:cs="仿宋_GB2312"/>
          <w:szCs w:val="32"/>
          <w:highlight w:val="none"/>
        </w:rPr>
        <w:t>供应商代表签字：</w:t>
      </w:r>
      <w:bookmarkEnd w:id="411"/>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412" w:name="_Toc19511"/>
      <w:r>
        <w:rPr>
          <w:rFonts w:hint="eastAsia" w:ascii="仿宋_GB2312" w:hAnsi="仿宋_GB2312" w:eastAsia="仿宋_GB2312" w:cs="仿宋_GB2312"/>
          <w:szCs w:val="32"/>
          <w:highlight w:val="none"/>
        </w:rPr>
        <w:t>日期：   年   月   日</w:t>
      </w:r>
      <w:bookmarkEnd w:id="412"/>
    </w:p>
    <w:p>
      <w:pPr>
        <w:pStyle w:val="77"/>
        <w:keepLines w:val="0"/>
        <w:spacing w:before="0" w:after="0" w:line="560" w:lineRule="exact"/>
        <w:ind w:left="0" w:firstLine="4800" w:firstLineChars="1500"/>
        <w:jc w:val="both"/>
        <w:outlineLvl w:val="9"/>
        <w:rPr>
          <w:rFonts w:hint="eastAsia" w:ascii="仿宋_GB2312" w:hAnsi="仿宋_GB2312" w:eastAsia="仿宋_GB2312" w:cs="仿宋_GB231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 xml:space="preserve">                               </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bookmarkStart w:id="413" w:name="_Toc534883370"/>
      <w:bookmarkStart w:id="414" w:name="_Toc534883412"/>
      <w:bookmarkStart w:id="415" w:name="_Toc508286690"/>
      <w:bookmarkStart w:id="416" w:name="_Toc409439703"/>
      <w:bookmarkStart w:id="417" w:name="_Toc122750661"/>
      <w:bookmarkStart w:id="418" w:name="_Toc122257638"/>
      <w:r>
        <w:rPr>
          <w:rFonts w:hint="eastAsia" w:ascii="仿宋_GB2312" w:eastAsia="仿宋_GB2312"/>
          <w:sz w:val="32"/>
          <w:szCs w:val="32"/>
          <w:highlight w:val="none"/>
        </w:rPr>
        <w:t xml:space="preserve">                   </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keepNext w:val="0"/>
        <w:keepLines w:val="0"/>
        <w:pageBreakBefore/>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kern w:val="44"/>
          <w:sz w:val="44"/>
          <w:szCs w:val="44"/>
          <w:highlight w:val="none"/>
        </w:rPr>
      </w:pPr>
      <w:bookmarkStart w:id="419" w:name="_Toc2959"/>
      <w:bookmarkStart w:id="420" w:name="_Toc11531"/>
      <w:r>
        <w:rPr>
          <w:rFonts w:hint="eastAsia" w:ascii="仿宋_GB2312" w:hAnsi="仿宋_GB2312" w:eastAsia="仿宋_GB2312" w:cs="仿宋_GB2312"/>
          <w:b/>
          <w:bCs/>
          <w:kern w:val="44"/>
          <w:sz w:val="44"/>
          <w:szCs w:val="44"/>
          <w:highlight w:val="none"/>
        </w:rPr>
        <w:t>（供应商法定代表人身份证复印件并盖章）</w:t>
      </w:r>
      <w:bookmarkEnd w:id="413"/>
      <w:bookmarkEnd w:id="414"/>
      <w:bookmarkEnd w:id="419"/>
      <w:bookmarkEnd w:id="420"/>
      <w:bookmarkStart w:id="421" w:name="_Toc534883413"/>
      <w:bookmarkStart w:id="422" w:name="_Toc534883371"/>
    </w:p>
    <w:p>
      <w:pPr>
        <w:jc w:val="center"/>
        <w:rPr>
          <w:rFonts w:hint="eastAsia" w:ascii="仿宋_GB2312" w:hAnsi="仿宋_GB2312" w:eastAsia="仿宋_GB2312" w:cs="仿宋_GB2312"/>
          <w:b/>
          <w:bCs/>
          <w:kern w:val="44"/>
          <w:sz w:val="44"/>
          <w:szCs w:val="44"/>
          <w:highlight w:val="none"/>
        </w:rPr>
      </w:pPr>
      <w:r>
        <w:rPr>
          <w:rFonts w:hint="eastAsia" w:ascii="仿宋_GB2312" w:hAnsi="仿宋_GB2312" w:eastAsia="仿宋_GB2312" w:cs="仿宋_GB2312"/>
          <w:b/>
          <w:bCs/>
          <w:kern w:val="44"/>
          <w:sz w:val="44"/>
          <w:szCs w:val="44"/>
          <w:highlight w:val="none"/>
        </w:rPr>
        <w:br w:type="page"/>
      </w:r>
    </w:p>
    <w:p>
      <w:pPr>
        <w:spacing w:line="560" w:lineRule="exact"/>
        <w:jc w:val="center"/>
        <w:outlineLvl w:val="0"/>
        <w:rPr>
          <w:rFonts w:hint="eastAsia" w:ascii="仿宋_GB2312" w:hAnsi="仿宋_GB2312" w:eastAsia="仿宋_GB2312" w:cs="仿宋_GB2312"/>
          <w:b/>
          <w:bCs/>
          <w:kern w:val="44"/>
          <w:sz w:val="44"/>
          <w:szCs w:val="44"/>
          <w:highlight w:val="none"/>
        </w:rPr>
      </w:pPr>
      <w:bookmarkStart w:id="423" w:name="_Toc32278"/>
      <w:bookmarkStart w:id="424" w:name="_Toc27266"/>
      <w:bookmarkStart w:id="425" w:name="_Toc19752"/>
      <w:bookmarkStart w:id="426" w:name="_Toc28966"/>
      <w:bookmarkStart w:id="427" w:name="_Toc179"/>
      <w:bookmarkStart w:id="428" w:name="_Toc27481"/>
      <w:bookmarkStart w:id="429" w:name="_Toc28281"/>
      <w:bookmarkStart w:id="430" w:name="_Toc11442"/>
      <w:bookmarkStart w:id="431" w:name="_Toc7407"/>
      <w:bookmarkStart w:id="432" w:name="_Toc3228"/>
      <w:bookmarkStart w:id="433" w:name="_Toc26318"/>
      <w:bookmarkStart w:id="434" w:name="_Toc9094"/>
      <w:bookmarkStart w:id="435" w:name="_Toc15360"/>
      <w:bookmarkStart w:id="436" w:name="_Toc30892"/>
      <w:r>
        <w:rPr>
          <w:rFonts w:hint="eastAsia" w:ascii="仿宋_GB2312" w:hAnsi="仿宋_GB2312" w:eastAsia="仿宋_GB2312" w:cs="仿宋_GB2312"/>
          <w:b/>
          <w:bCs/>
          <w:kern w:val="44"/>
          <w:sz w:val="44"/>
          <w:szCs w:val="44"/>
          <w:highlight w:val="none"/>
        </w:rPr>
        <w:t>四、供应商法定代表人授权委托书</w:t>
      </w:r>
      <w:bookmarkEnd w:id="415"/>
      <w:bookmarkEnd w:id="416"/>
      <w:bookmarkEnd w:id="417"/>
      <w:bookmarkEnd w:id="418"/>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福路通资源循环（福建）集团有限公司</w:t>
      </w:r>
      <w:r>
        <w:rPr>
          <w:rFonts w:hint="eastAsia" w:ascii="仿宋_GB2312" w:eastAsia="仿宋_GB2312"/>
          <w:sz w:val="32"/>
          <w:szCs w:val="32"/>
          <w:highlight w:val="none"/>
        </w:rPr>
        <w:t>：</w:t>
      </w:r>
    </w:p>
    <w:p>
      <w:pPr>
        <w:spacing w:line="560" w:lineRule="exact"/>
        <w:rPr>
          <w:rFonts w:ascii="仿宋_GB2312" w:eastAsia="仿宋_GB2312"/>
          <w:sz w:val="32"/>
          <w:szCs w:val="32"/>
          <w:highlight w:val="none"/>
        </w:rPr>
      </w:pPr>
    </w:p>
    <w:p>
      <w:pPr>
        <w:spacing w:line="560" w:lineRule="exact"/>
        <w:ind w:firstLine="645"/>
        <w:rPr>
          <w:rFonts w:ascii="仿宋_GB2312" w:eastAsia="仿宋_GB2312"/>
          <w:sz w:val="32"/>
          <w:szCs w:val="32"/>
          <w:highlight w:val="none"/>
        </w:rPr>
      </w:pPr>
      <w:r>
        <w:rPr>
          <w:rFonts w:hint="eastAsia" w:ascii="仿宋_GB2312" w:eastAsia="仿宋_GB2312"/>
          <w:color w:val="000000"/>
          <w:sz w:val="32"/>
          <w:szCs w:val="32"/>
          <w:highlight w:val="none"/>
          <w:u w:val="single"/>
        </w:rPr>
        <w:t>（供应商名称）</w:t>
      </w:r>
      <w:r>
        <w:rPr>
          <w:rFonts w:hint="eastAsia" w:ascii="仿宋_GB2312" w:eastAsia="仿宋_GB2312"/>
          <w:sz w:val="32"/>
          <w:szCs w:val="32"/>
          <w:highlight w:val="none"/>
        </w:rPr>
        <w:t>是中华人民共和国合法企业，法定地址</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w:t>
      </w:r>
      <w:r>
        <w:rPr>
          <w:rFonts w:hint="eastAsia" w:ascii="仿宋_GB2312" w:eastAsia="仿宋_GB2312"/>
          <w:color w:val="000000"/>
          <w:sz w:val="32"/>
          <w:szCs w:val="32"/>
          <w:highlight w:val="none"/>
          <w:u w:val="single"/>
        </w:rPr>
        <w:t>（供应商法定代表人姓名）</w:t>
      </w:r>
      <w:r>
        <w:rPr>
          <w:rFonts w:hint="eastAsia" w:ascii="仿宋_GB2312" w:eastAsia="仿宋_GB2312"/>
          <w:sz w:val="32"/>
          <w:szCs w:val="32"/>
          <w:highlight w:val="none"/>
        </w:rPr>
        <w:t>特授权</w:t>
      </w:r>
      <w:r>
        <w:rPr>
          <w:rFonts w:hint="eastAsia" w:ascii="仿宋_GB2312" w:eastAsia="仿宋_GB2312"/>
          <w:sz w:val="32"/>
          <w:szCs w:val="32"/>
          <w:highlight w:val="none"/>
          <w:u w:val="single"/>
        </w:rPr>
        <w:t>（被授权人姓名及身份证号码）</w:t>
      </w:r>
      <w:r>
        <w:rPr>
          <w:rFonts w:hint="eastAsia" w:ascii="仿宋_GB2312" w:eastAsia="仿宋_GB2312"/>
          <w:sz w:val="32"/>
          <w:szCs w:val="32"/>
          <w:highlight w:val="none"/>
        </w:rPr>
        <w:t>代表我单位全权办理对</w:t>
      </w:r>
      <w:r>
        <w:rPr>
          <w:rFonts w:hint="eastAsia" w:ascii="仿宋_GB2312" w:hAnsi="仿宋_GB2312" w:eastAsia="仿宋_GB2312" w:cs="仿宋_GB2312"/>
          <w:sz w:val="32"/>
          <w:szCs w:val="32"/>
          <w:highlight w:val="none"/>
          <w:u w:val="single"/>
          <w:lang w:eastAsia="zh-CN"/>
        </w:rPr>
        <w:t>宁德地区旋转桶式活动护栏原材料</w:t>
      </w:r>
      <w:r>
        <w:rPr>
          <w:rFonts w:hint="eastAsia" w:ascii="仿宋_GB2312" w:eastAsia="仿宋_GB2312"/>
          <w:sz w:val="32"/>
          <w:szCs w:val="32"/>
          <w:highlight w:val="none"/>
        </w:rPr>
        <w:t>的报价、签约等具体工作，并签署全部有关的文件、协议及合同。</w:t>
      </w:r>
    </w:p>
    <w:p>
      <w:pPr>
        <w:spacing w:line="560" w:lineRule="exact"/>
        <w:ind w:firstLine="645"/>
        <w:rPr>
          <w:rFonts w:ascii="仿宋_GB2312" w:eastAsia="仿宋_GB2312"/>
          <w:sz w:val="32"/>
          <w:szCs w:val="32"/>
          <w:highlight w:val="none"/>
        </w:rPr>
      </w:pPr>
      <w:r>
        <w:rPr>
          <w:rFonts w:hint="eastAsia" w:ascii="仿宋_GB2312" w:eastAsia="仿宋_GB2312"/>
          <w:sz w:val="32"/>
          <w:szCs w:val="32"/>
          <w:highlight w:val="none"/>
        </w:rPr>
        <w:t>我单位对被授权人的签名负全部责任。</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在撤销授权的书面通知以前，本授权书一直有效。被授权人签署的所有文件（在授权书有效期内签署的）不因授权的撤销而失效。</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 xml:space="preserve">被授权人：（签字）             </w:t>
      </w: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供应商法定代表人：（签字并盖公章）</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 xml:space="preserve">                           </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keepNext w:val="0"/>
        <w:keepLines w:val="0"/>
        <w:pageBreakBefore/>
        <w:widowControl w:val="0"/>
        <w:kinsoku/>
        <w:wordWrap/>
        <w:overflowPunct/>
        <w:topLinePunct w:val="0"/>
        <w:autoSpaceDE/>
        <w:autoSpaceDN/>
        <w:bidi w:val="0"/>
        <w:adjustRightInd/>
        <w:snapToGrid/>
        <w:jc w:val="center"/>
        <w:textAlignment w:val="auto"/>
        <w:rPr>
          <w:rFonts w:ascii="仿宋_GB2312" w:hAnsi="仿宋_GB2312" w:eastAsia="仿宋_GB2312" w:cs="仿宋_GB2312"/>
          <w:b/>
          <w:bCs/>
          <w:sz w:val="44"/>
          <w:szCs w:val="44"/>
          <w:highlight w:val="none"/>
        </w:rPr>
      </w:pPr>
      <w:bookmarkStart w:id="437" w:name="_Toc2201"/>
      <w:bookmarkStart w:id="438" w:name="_Toc11899"/>
      <w:bookmarkStart w:id="439" w:name="_Toc4209"/>
      <w:bookmarkStart w:id="440" w:name="_Toc20925"/>
      <w:r>
        <w:rPr>
          <w:rFonts w:hint="eastAsia" w:ascii="仿宋_GB2312" w:hAnsi="仿宋_GB2312" w:eastAsia="仿宋_GB2312" w:cs="仿宋_GB2312"/>
          <w:b/>
          <w:bCs/>
          <w:kern w:val="44"/>
          <w:sz w:val="44"/>
          <w:szCs w:val="44"/>
          <w:highlight w:val="none"/>
        </w:rPr>
        <w:t>（供应商被授权人身份证复印件</w:t>
      </w:r>
      <w:bookmarkStart w:id="441" w:name="_Toc122750662"/>
      <w:bookmarkStart w:id="442" w:name="_Toc122257640"/>
      <w:bookmarkStart w:id="443" w:name="_Toc409439704"/>
      <w:bookmarkStart w:id="444" w:name="_Toc508286691"/>
      <w:r>
        <w:rPr>
          <w:rFonts w:hint="eastAsia" w:ascii="仿宋_GB2312" w:hAnsi="仿宋_GB2312" w:eastAsia="仿宋_GB2312" w:cs="仿宋_GB2312"/>
          <w:b/>
          <w:bCs/>
          <w:kern w:val="44"/>
          <w:sz w:val="44"/>
          <w:szCs w:val="44"/>
          <w:highlight w:val="none"/>
        </w:rPr>
        <w:t>并盖章）</w:t>
      </w:r>
      <w:bookmarkEnd w:id="437"/>
      <w:bookmarkEnd w:id="438"/>
      <w:bookmarkEnd w:id="439"/>
      <w:bookmarkEnd w:id="440"/>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sz w:val="44"/>
          <w:highlight w:val="none"/>
        </w:rPr>
      </w:pPr>
      <w:bookmarkStart w:id="445" w:name="_Toc18709"/>
      <w:bookmarkStart w:id="446" w:name="_Toc6452"/>
      <w:bookmarkStart w:id="447" w:name="_Toc201"/>
      <w:bookmarkStart w:id="448" w:name="_Toc23922"/>
      <w:bookmarkStart w:id="449" w:name="_Toc22524"/>
      <w:bookmarkStart w:id="450" w:name="_Toc534883372"/>
      <w:bookmarkStart w:id="451" w:name="_Toc917"/>
      <w:bookmarkStart w:id="452" w:name="_Toc22403"/>
      <w:bookmarkStart w:id="453" w:name="_Toc10390"/>
      <w:bookmarkStart w:id="454" w:name="_Toc18855"/>
      <w:bookmarkStart w:id="455" w:name="_Toc22759"/>
      <w:bookmarkStart w:id="456" w:name="_Toc5400"/>
      <w:bookmarkStart w:id="457" w:name="_Toc1898"/>
      <w:bookmarkStart w:id="458" w:name="_Toc21115"/>
      <w:bookmarkStart w:id="459" w:name="_Toc26202"/>
      <w:bookmarkStart w:id="460" w:name="_Toc534883414"/>
      <w:bookmarkStart w:id="461" w:name="OLE_LINK12"/>
      <w:r>
        <w:rPr>
          <w:rFonts w:hint="eastAsia" w:ascii="仿宋_GB2312" w:hAnsi="仿宋_GB2312" w:eastAsia="仿宋_GB2312" w:cs="仿宋_GB2312"/>
          <w:b/>
          <w:bCs/>
          <w:kern w:val="44"/>
          <w:sz w:val="44"/>
          <w:szCs w:val="44"/>
          <w:highlight w:val="none"/>
        </w:rPr>
        <w:t>五、</w:t>
      </w:r>
      <w:bookmarkEnd w:id="441"/>
      <w:bookmarkEnd w:id="442"/>
      <w:r>
        <w:rPr>
          <w:rFonts w:hint="eastAsia" w:ascii="仿宋_GB2312" w:hAnsi="仿宋_GB2312" w:eastAsia="仿宋_GB2312" w:cs="仿宋_GB2312"/>
          <w:b/>
          <w:bCs/>
          <w:kern w:val="44"/>
          <w:sz w:val="44"/>
          <w:szCs w:val="44"/>
          <w:highlight w:val="none"/>
        </w:rPr>
        <w:t>资质文件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pStyle w:val="29"/>
        <w:numPr>
          <w:ilvl w:val="255"/>
          <w:numId w:val="0"/>
        </w:numPr>
        <w:spacing w:line="560" w:lineRule="exact"/>
        <w:ind w:left="840" w:leftChars="400"/>
        <w:rPr>
          <w:rFonts w:hint="eastAsia"/>
          <w:highlight w:val="none"/>
        </w:rPr>
      </w:pPr>
    </w:p>
    <w:bookmarkEnd w:id="461"/>
    <w:p>
      <w:pPr>
        <w:spacing w:line="560" w:lineRule="exact"/>
        <w:rPr>
          <w:rFonts w:ascii="仿宋_GB2312" w:eastAsia="仿宋_GB2312"/>
          <w:sz w:val="32"/>
          <w:szCs w:val="32"/>
          <w:highlight w:val="none"/>
        </w:rPr>
      </w:pPr>
      <w:r>
        <w:rPr>
          <w:rFonts w:hint="eastAsia" w:ascii="仿宋_GB2312" w:eastAsia="仿宋_GB2312"/>
          <w:sz w:val="32"/>
          <w:szCs w:val="32"/>
          <w:highlight w:val="none"/>
        </w:rPr>
        <w:t>供应商需提供以下资质文件：</w:t>
      </w: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有效的工商营业执照副本复印件、税务登记证副本复印件（或提供三证合一的工商营业执照副本复印件）</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以上资料</w:t>
      </w:r>
      <w:bookmarkStart w:id="462" w:name="OLE_LINK13"/>
      <w:r>
        <w:rPr>
          <w:rFonts w:hint="eastAsia" w:ascii="仿宋_GB2312" w:eastAsia="仿宋_GB2312"/>
          <w:sz w:val="32"/>
          <w:szCs w:val="32"/>
          <w:highlight w:val="none"/>
        </w:rPr>
        <w:t>复印件加盖公章</w:t>
      </w:r>
      <w:bookmarkEnd w:id="462"/>
      <w:r>
        <w:rPr>
          <w:rFonts w:hint="eastAsia" w:ascii="仿宋_GB2312" w:eastAsia="仿宋_GB2312"/>
          <w:sz w:val="32"/>
          <w:szCs w:val="32"/>
          <w:highlight w:val="none"/>
        </w:rPr>
        <w:t>，装订为响应文件的一部分。</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br w:type="page"/>
      </w:r>
    </w:p>
    <w:p>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kern w:val="44"/>
          <w:sz w:val="44"/>
          <w:szCs w:val="44"/>
          <w:highlight w:val="none"/>
        </w:rPr>
      </w:pPr>
      <w:bookmarkStart w:id="463" w:name="_Toc31507"/>
      <w:bookmarkStart w:id="464" w:name="_Toc5528"/>
      <w:bookmarkStart w:id="465" w:name="_Toc29598"/>
      <w:bookmarkStart w:id="466" w:name="_Toc14434"/>
      <w:bookmarkStart w:id="467" w:name="_Toc26328"/>
      <w:bookmarkStart w:id="468" w:name="_Toc15993"/>
      <w:bookmarkStart w:id="469" w:name="_Toc21267"/>
      <w:bookmarkStart w:id="470" w:name="_Toc20229"/>
      <w:bookmarkStart w:id="471" w:name="_Toc8818"/>
      <w:bookmarkStart w:id="472" w:name="_Toc22981"/>
      <w:bookmarkStart w:id="473" w:name="_Toc28230"/>
      <w:bookmarkStart w:id="474" w:name="_Toc17405"/>
      <w:bookmarkStart w:id="475" w:name="_Toc3538"/>
      <w:bookmarkStart w:id="476" w:name="_Toc5331"/>
      <w:bookmarkStart w:id="477" w:name="OLE_LINK15"/>
      <w:r>
        <w:rPr>
          <w:rFonts w:hint="eastAsia" w:ascii="仿宋_GB2312" w:hAnsi="仿宋_GB2312" w:eastAsia="仿宋_GB2312" w:cs="仿宋_GB2312"/>
          <w:b/>
          <w:bCs/>
          <w:kern w:val="44"/>
          <w:sz w:val="44"/>
          <w:szCs w:val="44"/>
          <w:highlight w:val="none"/>
          <w:lang w:val="en-US" w:eastAsia="zh-CN"/>
        </w:rPr>
        <w:t>六</w:t>
      </w:r>
      <w:r>
        <w:rPr>
          <w:rFonts w:hint="eastAsia" w:ascii="仿宋_GB2312" w:hAnsi="仿宋_GB2312" w:eastAsia="仿宋_GB2312" w:cs="仿宋_GB2312"/>
          <w:b/>
          <w:bCs/>
          <w:kern w:val="44"/>
          <w:sz w:val="44"/>
          <w:szCs w:val="44"/>
          <w:highlight w:val="none"/>
        </w:rPr>
        <w:t>、其他文件</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bookmarkEnd w:id="477"/>
    <w:p>
      <w:pPr>
        <w:wordWrap w:val="0"/>
        <w:spacing w:line="560" w:lineRule="exact"/>
        <w:ind w:firstLine="640" w:firstLineChars="200"/>
        <w:rPr>
          <w:rFonts w:ascii="仿宋_GB2312" w:eastAsia="仿宋_GB2312"/>
          <w:sz w:val="32"/>
          <w:szCs w:val="32"/>
          <w:highlight w:val="none"/>
        </w:rPr>
      </w:pPr>
    </w:p>
    <w:p>
      <w:pPr>
        <w:wordWrap w:val="0"/>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1.</w:t>
      </w:r>
      <w:r>
        <w:rPr>
          <w:rFonts w:hint="eastAsia" w:ascii="仿宋_GB2312" w:eastAsia="仿宋_GB2312"/>
          <w:sz w:val="32"/>
          <w:szCs w:val="32"/>
          <w:highlight w:val="none"/>
        </w:rPr>
        <w:t>投标保证金（银行回执单，复印件加盖公章）</w:t>
      </w:r>
      <w:r>
        <w:rPr>
          <w:rFonts w:hint="eastAsia" w:ascii="仿宋_GB2312" w:eastAsia="仿宋_GB2312"/>
          <w:sz w:val="32"/>
          <w:szCs w:val="32"/>
          <w:highlight w:val="none"/>
          <w:lang w:eastAsia="zh-CN"/>
        </w:rPr>
        <w:t>。</w:t>
      </w:r>
    </w:p>
    <w:p>
      <w:pPr>
        <w:numPr>
          <w:ilvl w:val="0"/>
          <w:numId w:val="0"/>
        </w:numPr>
        <w:wordWrap w:val="0"/>
        <w:spacing w:line="560" w:lineRule="exact"/>
        <w:ind w:firstLine="640" w:firstLineChars="200"/>
        <w:rPr>
          <w:rFonts w:hint="eastAsia" w:ascii="仿宋_GB2312" w:eastAsia="仿宋_GB2312"/>
          <w:sz w:val="32"/>
          <w:szCs w:val="32"/>
          <w:highlight w:val="none"/>
          <w:lang w:val="en-US" w:eastAsia="zh-CN"/>
        </w:rPr>
      </w:pPr>
      <w:r>
        <w:rPr>
          <w:rFonts w:ascii="仿宋_GB2312" w:eastAsia="仿宋_GB2312"/>
          <w:sz w:val="32"/>
          <w:szCs w:val="32"/>
          <w:highlight w:val="none"/>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产品原材料(钢材）检测报告。</w:t>
      </w:r>
    </w:p>
    <w:p>
      <w:pPr>
        <w:numPr>
          <w:ilvl w:val="0"/>
          <w:numId w:val="0"/>
        </w:numPr>
        <w:wordWrap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eastAsia="仿宋_GB2312"/>
          <w:sz w:val="32"/>
          <w:szCs w:val="32"/>
          <w:highlight w:val="none"/>
          <w:lang w:val="en-US" w:eastAsia="zh-CN"/>
        </w:rPr>
        <w:t>3.</w:t>
      </w:r>
      <w:r>
        <w:rPr>
          <w:rFonts w:hint="eastAsia" w:ascii="仿宋_GB2312" w:hAnsi="仿宋_GB2312" w:eastAsia="仿宋_GB2312" w:cs="仿宋_GB2312"/>
          <w:color w:val="000000"/>
          <w:sz w:val="32"/>
          <w:szCs w:val="32"/>
          <w:highlight w:val="none"/>
        </w:rPr>
        <w:t>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p>
    <w:p>
      <w:pPr>
        <w:wordWrap w:val="0"/>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.企业、法定代表人未被列入失信被执行人名单（应提供企业、企业法定代表人在中国执行信息公开网http://zxgk.court.gov.cn中“综合查询被执行人-全国法院”查询的信息（网页截图））。</w:t>
      </w:r>
    </w:p>
    <w:p>
      <w:pPr>
        <w:wordWrap w:val="0"/>
        <w:spacing w:line="560" w:lineRule="exact"/>
        <w:ind w:firstLine="640" w:firstLineChars="200"/>
        <w:rPr>
          <w:rFonts w:hint="eastAsia" w:ascii="仿宋_GB2312" w:hAnsi="仿宋_GB2312" w:eastAsia="仿宋_GB2312" w:cs="仿宋_GB2312"/>
          <w:highlight w:val="none"/>
        </w:rPr>
      </w:pPr>
      <w:bookmarkStart w:id="478" w:name="_Toc9936"/>
      <w:bookmarkStart w:id="479" w:name="_Toc23094"/>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.供应商认为应提交的其他材料，可在此附件中提交。</w:t>
      </w:r>
      <w:bookmarkEnd w:id="478"/>
      <w:bookmarkEnd w:id="479"/>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bCs/>
          <w:kern w:val="44"/>
          <w:sz w:val="44"/>
          <w:szCs w:val="44"/>
          <w:highlight w:val="none"/>
        </w:rPr>
      </w:pPr>
      <w:bookmarkStart w:id="480" w:name="_Toc3644"/>
      <w:bookmarkStart w:id="481" w:name="_Toc968"/>
      <w:bookmarkStart w:id="482" w:name="_Toc10848"/>
      <w:bookmarkStart w:id="483" w:name="_Toc5232"/>
      <w:bookmarkStart w:id="484" w:name="_Toc2473"/>
      <w:bookmarkStart w:id="485" w:name="_Toc21651"/>
      <w:bookmarkStart w:id="486" w:name="_Toc596"/>
      <w:bookmarkStart w:id="487" w:name="_Toc28031"/>
      <w:bookmarkStart w:id="488" w:name="_Toc24342"/>
      <w:bookmarkStart w:id="489" w:name="_Toc26733"/>
      <w:bookmarkStart w:id="490" w:name="_Toc11413"/>
      <w:bookmarkStart w:id="491" w:name="_Toc20128"/>
      <w:bookmarkStart w:id="492" w:name="_Toc5215"/>
      <w:bookmarkStart w:id="493" w:name="_Toc6028"/>
      <w:r>
        <w:rPr>
          <w:rFonts w:hint="eastAsia" w:ascii="仿宋_GB2312" w:hAnsi="仿宋_GB2312" w:eastAsia="仿宋_GB2312" w:cs="仿宋_GB2312"/>
          <w:b/>
          <w:bCs/>
          <w:kern w:val="44"/>
          <w:sz w:val="44"/>
          <w:szCs w:val="44"/>
          <w:highlight w:val="none"/>
          <w:lang w:val="en-US" w:eastAsia="zh-CN"/>
        </w:rPr>
        <w:t>七</w:t>
      </w:r>
      <w:r>
        <w:rPr>
          <w:rFonts w:hint="eastAsia" w:ascii="仿宋_GB2312" w:hAnsi="仿宋_GB2312" w:eastAsia="仿宋_GB2312" w:cs="仿宋_GB2312"/>
          <w:b/>
          <w:bCs/>
          <w:kern w:val="44"/>
          <w:sz w:val="44"/>
          <w:szCs w:val="44"/>
          <w:highlight w:val="none"/>
        </w:rPr>
        <w:t>、供应商廉政保证书</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spacing w:line="560" w:lineRule="exact"/>
        <w:rPr>
          <w:rFonts w:hint="eastAsia" w:ascii="宋体" w:hAnsi="宋体"/>
          <w:b/>
          <w:bCs/>
          <w:highlight w:val="none"/>
        </w:rPr>
      </w:pP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福路通资源循环（福建）集团有限公司</w:t>
      </w:r>
      <w:r>
        <w:rPr>
          <w:rFonts w:hint="eastAsia" w:ascii="仿宋_GB2312" w:hAnsi="仿宋_GB2312" w:eastAsia="仿宋_GB2312" w:cs="仿宋_GB2312"/>
          <w:sz w:val="32"/>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rPr>
      </w:pP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为了积极配合贵公司进行</w:t>
      </w:r>
      <w:r>
        <w:rPr>
          <w:rFonts w:hint="eastAsia" w:ascii="仿宋_GB2312" w:hAnsi="仿宋_GB2312" w:eastAsia="仿宋_GB2312" w:cs="仿宋_GB2312"/>
          <w:sz w:val="32"/>
          <w:szCs w:val="32"/>
          <w:highlight w:val="none"/>
          <w:u w:val="single"/>
          <w:lang w:eastAsia="zh-CN"/>
        </w:rPr>
        <w:t>宁德地区旋转桶式活动护栏原材料</w:t>
      </w:r>
      <w:r>
        <w:rPr>
          <w:rFonts w:hint="eastAsia" w:ascii="仿宋_GB2312" w:hAnsi="仿宋_GB2312" w:eastAsia="仿宋_GB2312" w:cs="仿宋_GB2312"/>
          <w:sz w:val="32"/>
          <w:szCs w:val="32"/>
          <w:highlight w:val="none"/>
        </w:rPr>
        <w:t>询价工作，确保此次询价工作的公平、公正、公开，我们保证认真贯彻国家有关廉政和询价报价的有关规定，特向贵公司承诺如下事项：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1.不以任何方式向采购人和询价</w:t>
      </w:r>
      <w:r>
        <w:rPr>
          <w:rFonts w:hint="eastAsia" w:ascii="仿宋_GB2312" w:hAnsi="仿宋_GB2312" w:eastAsia="仿宋_GB2312" w:cs="仿宋_GB2312"/>
          <w:sz w:val="32"/>
          <w:szCs w:val="32"/>
          <w:highlight w:val="none"/>
          <w:lang w:eastAsia="zh-CN"/>
        </w:rPr>
        <w:t>小组</w:t>
      </w:r>
      <w:r>
        <w:rPr>
          <w:rFonts w:hint="eastAsia" w:ascii="仿宋_GB2312" w:hAnsi="仿宋_GB2312" w:eastAsia="仿宋_GB2312" w:cs="仿宋_GB2312"/>
          <w:sz w:val="32"/>
          <w:szCs w:val="32"/>
          <w:highlight w:val="none"/>
        </w:rPr>
        <w:t>的任何人赠送礼品、礼金及有价证券；</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2.不宴请采购人的任何人或请采购人的任何人参加高消费的娱乐活动以及旅游、考察、参观等；</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3.不以任何形式报销采购人的任何人以及亲友的各种票据及费用；</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4.不进行可能影响报价公平、公正的任何活动；</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5.如违反上述承诺</w:t>
      </w:r>
      <w:r>
        <w:rPr>
          <w:rFonts w:hint="eastAsia" w:ascii="仿宋_GB2312" w:hAnsi="仿宋_GB2312" w:eastAsia="仿宋_GB2312" w:cs="仿宋_GB2312"/>
          <w:sz w:val="32"/>
          <w:szCs w:val="32"/>
          <w:highlight w:val="none"/>
          <w:lang w:eastAsia="zh-CN"/>
        </w:rPr>
        <w:t>，自</w:t>
      </w:r>
      <w:r>
        <w:rPr>
          <w:rFonts w:hint="eastAsia" w:ascii="仿宋_GB2312" w:hAnsi="仿宋_GB2312" w:eastAsia="仿宋_GB2312" w:cs="仿宋_GB2312"/>
          <w:sz w:val="32"/>
          <w:szCs w:val="32"/>
          <w:highlight w:val="none"/>
        </w:rPr>
        <w:t>愿接受取消报价资格及其他任何形式的处理。</w:t>
      </w:r>
    </w:p>
    <w:p>
      <w:pPr>
        <w:spacing w:line="560" w:lineRule="exact"/>
        <w:rPr>
          <w:rFonts w:hint="eastAsia" w:ascii="仿宋_GB2312" w:hAnsi="仿宋_GB2312" w:eastAsia="仿宋_GB2312" w:cs="仿宋_GB2312"/>
          <w:sz w:val="32"/>
          <w:szCs w:val="32"/>
          <w:highlight w:val="none"/>
        </w:rPr>
      </w:pPr>
    </w:p>
    <w:p>
      <w:pPr>
        <w:pStyle w:val="77"/>
        <w:keepLines w:val="0"/>
        <w:spacing w:before="0" w:after="0" w:line="560" w:lineRule="exact"/>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bookmarkStart w:id="494" w:name="_Toc30489"/>
      <w:r>
        <w:rPr>
          <w:rFonts w:hint="eastAsia" w:ascii="仿宋_GB2312" w:hAnsi="仿宋_GB2312" w:eastAsia="仿宋_GB2312" w:cs="仿宋_GB2312"/>
          <w:szCs w:val="32"/>
          <w:highlight w:val="none"/>
        </w:rPr>
        <w:t>供应商名称（全称并加盖公章）：</w:t>
      </w:r>
      <w:bookmarkEnd w:id="494"/>
      <w:r>
        <w:rPr>
          <w:rFonts w:hint="eastAsia" w:ascii="仿宋_GB2312" w:hAnsi="仿宋_GB2312" w:eastAsia="仿宋_GB2312" w:cs="仿宋_GB2312"/>
          <w:szCs w:val="32"/>
          <w:highlight w:val="none"/>
        </w:rPr>
        <w:t xml:space="preserve"> </w:t>
      </w:r>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495" w:name="_Toc20433"/>
      <w:r>
        <w:rPr>
          <w:rFonts w:hint="eastAsia" w:ascii="仿宋_GB2312" w:hAnsi="仿宋_GB2312" w:eastAsia="仿宋_GB2312" w:cs="仿宋_GB2312"/>
          <w:szCs w:val="32"/>
          <w:highlight w:val="none"/>
        </w:rPr>
        <w:t>供应商代表签字：</w:t>
      </w:r>
      <w:bookmarkEnd w:id="495"/>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496" w:name="_Toc16002"/>
      <w:r>
        <w:rPr>
          <w:rFonts w:hint="eastAsia" w:ascii="仿宋_GB2312" w:hAnsi="仿宋_GB2312" w:eastAsia="仿宋_GB2312" w:cs="仿宋_GB2312"/>
          <w:szCs w:val="32"/>
          <w:highlight w:val="none"/>
        </w:rPr>
        <w:t>日期：   年   月   日</w:t>
      </w:r>
      <w:bookmarkEnd w:id="496"/>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sectPr>
      <w:pgSz w:w="11906" w:h="16838"/>
      <w:pgMar w:top="1701" w:right="1474"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EF0072-88A3-4608-B636-9CB6774CA4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43FDE3E-B056-4AA6-BF73-881A830026AB}"/>
  </w:font>
  <w:font w:name="Cambria">
    <w:panose1 w:val="02040503050406030204"/>
    <w:charset w:val="00"/>
    <w:family w:val="roman"/>
    <w:pitch w:val="default"/>
    <w:sig w:usb0="E00006FF" w:usb1="420024FF" w:usb2="02000000" w:usb3="00000000" w:csb0="2000019F" w:csb1="00000000"/>
  </w:font>
  <w:font w:name="报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4B5D4216-9F68-40B0-8AEC-B05D4C5045B4}"/>
  </w:font>
  <w:font w:name="仿宋">
    <w:panose1 w:val="02010609060101010101"/>
    <w:charset w:val="86"/>
    <w:family w:val="modern"/>
    <w:pitch w:val="default"/>
    <w:sig w:usb0="800002BF" w:usb1="38CF7CFA" w:usb2="00000016" w:usb3="00000000" w:csb0="00040001" w:csb1="00000000"/>
    <w:embedRegular r:id="rId4" w:fontKey="{AE8E6714-3442-4AD0-BE9B-5093003C02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pStyle w:val="7"/>
      <w:lvlText w:val="%1.%2.%3.%4.%5"/>
      <w:lvlJc w:val="left"/>
      <w:pPr>
        <w:tabs>
          <w:tab w:val="left" w:pos="1440"/>
        </w:tabs>
        <w:ind w:left="1008" w:hanging="1008"/>
      </w:pPr>
      <w:rPr>
        <w:rFonts w:hint="eastAsia"/>
      </w:rPr>
    </w:lvl>
    <w:lvl w:ilvl="5" w:tentative="0">
      <w:start w:val="1"/>
      <w:numFmt w:val="decimal"/>
      <w:pStyle w:val="8"/>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E1A2F8F"/>
    <w:multiLevelType w:val="singleLevel"/>
    <w:tmpl w:val="0E1A2F8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Y5ZDhlOGQ2MGJmM2UwMjQ3NTdjZjE0YTA5ZjIifQ=="/>
  </w:docVars>
  <w:rsids>
    <w:rsidRoot w:val="00172A27"/>
    <w:rsid w:val="00000A21"/>
    <w:rsid w:val="000014E7"/>
    <w:rsid w:val="00005E43"/>
    <w:rsid w:val="00005FF7"/>
    <w:rsid w:val="0000754C"/>
    <w:rsid w:val="00010E3A"/>
    <w:rsid w:val="000120A7"/>
    <w:rsid w:val="000121AF"/>
    <w:rsid w:val="000147F5"/>
    <w:rsid w:val="00015E2E"/>
    <w:rsid w:val="0001672F"/>
    <w:rsid w:val="00017B7E"/>
    <w:rsid w:val="00021297"/>
    <w:rsid w:val="00025FAA"/>
    <w:rsid w:val="0002621F"/>
    <w:rsid w:val="00030EF4"/>
    <w:rsid w:val="00031E88"/>
    <w:rsid w:val="000342A8"/>
    <w:rsid w:val="000344BA"/>
    <w:rsid w:val="000345DB"/>
    <w:rsid w:val="0003529D"/>
    <w:rsid w:val="00036B7C"/>
    <w:rsid w:val="0003703F"/>
    <w:rsid w:val="000370A4"/>
    <w:rsid w:val="000443A5"/>
    <w:rsid w:val="000462EC"/>
    <w:rsid w:val="00046C4C"/>
    <w:rsid w:val="000522F8"/>
    <w:rsid w:val="000543DB"/>
    <w:rsid w:val="00055B78"/>
    <w:rsid w:val="00061053"/>
    <w:rsid w:val="000624A7"/>
    <w:rsid w:val="00064527"/>
    <w:rsid w:val="00064647"/>
    <w:rsid w:val="000658BC"/>
    <w:rsid w:val="00065EAD"/>
    <w:rsid w:val="000673A5"/>
    <w:rsid w:val="00071E4B"/>
    <w:rsid w:val="0007461E"/>
    <w:rsid w:val="00083DFF"/>
    <w:rsid w:val="00084138"/>
    <w:rsid w:val="00086EEB"/>
    <w:rsid w:val="000936C4"/>
    <w:rsid w:val="00094031"/>
    <w:rsid w:val="00095087"/>
    <w:rsid w:val="00095582"/>
    <w:rsid w:val="000A2284"/>
    <w:rsid w:val="000A2441"/>
    <w:rsid w:val="000A38A9"/>
    <w:rsid w:val="000A456E"/>
    <w:rsid w:val="000A50AE"/>
    <w:rsid w:val="000A51C8"/>
    <w:rsid w:val="000A537A"/>
    <w:rsid w:val="000B4573"/>
    <w:rsid w:val="000B66C7"/>
    <w:rsid w:val="000B7F72"/>
    <w:rsid w:val="000C039F"/>
    <w:rsid w:val="000C3592"/>
    <w:rsid w:val="000C3C22"/>
    <w:rsid w:val="000C766F"/>
    <w:rsid w:val="000D2185"/>
    <w:rsid w:val="000D472B"/>
    <w:rsid w:val="000D67FF"/>
    <w:rsid w:val="000E0CD0"/>
    <w:rsid w:val="000E1D23"/>
    <w:rsid w:val="000E2349"/>
    <w:rsid w:val="000E34DA"/>
    <w:rsid w:val="000E64D5"/>
    <w:rsid w:val="000F3C9C"/>
    <w:rsid w:val="000F3FFF"/>
    <w:rsid w:val="000F5BF9"/>
    <w:rsid w:val="000F60BA"/>
    <w:rsid w:val="000F76D0"/>
    <w:rsid w:val="001028A5"/>
    <w:rsid w:val="001119D3"/>
    <w:rsid w:val="00116A6E"/>
    <w:rsid w:val="00116B88"/>
    <w:rsid w:val="00121392"/>
    <w:rsid w:val="00122B8A"/>
    <w:rsid w:val="001256B9"/>
    <w:rsid w:val="00126F52"/>
    <w:rsid w:val="00130BFD"/>
    <w:rsid w:val="001317D7"/>
    <w:rsid w:val="0013209F"/>
    <w:rsid w:val="00132419"/>
    <w:rsid w:val="001329E6"/>
    <w:rsid w:val="001372C5"/>
    <w:rsid w:val="00137514"/>
    <w:rsid w:val="00140A92"/>
    <w:rsid w:val="00144674"/>
    <w:rsid w:val="0014545A"/>
    <w:rsid w:val="00146B2A"/>
    <w:rsid w:val="00147096"/>
    <w:rsid w:val="00157CDE"/>
    <w:rsid w:val="00163C84"/>
    <w:rsid w:val="00164318"/>
    <w:rsid w:val="001644A9"/>
    <w:rsid w:val="00166A9A"/>
    <w:rsid w:val="00167471"/>
    <w:rsid w:val="00171AC2"/>
    <w:rsid w:val="00172A27"/>
    <w:rsid w:val="0017310B"/>
    <w:rsid w:val="001773F9"/>
    <w:rsid w:val="001808E2"/>
    <w:rsid w:val="001839F4"/>
    <w:rsid w:val="00187E70"/>
    <w:rsid w:val="00192263"/>
    <w:rsid w:val="0019348A"/>
    <w:rsid w:val="00194A15"/>
    <w:rsid w:val="00194B84"/>
    <w:rsid w:val="0019748A"/>
    <w:rsid w:val="001A1919"/>
    <w:rsid w:val="001A228C"/>
    <w:rsid w:val="001A388D"/>
    <w:rsid w:val="001A573C"/>
    <w:rsid w:val="001A6598"/>
    <w:rsid w:val="001A7270"/>
    <w:rsid w:val="001A7548"/>
    <w:rsid w:val="001B182A"/>
    <w:rsid w:val="001B2073"/>
    <w:rsid w:val="001C0626"/>
    <w:rsid w:val="001C152E"/>
    <w:rsid w:val="001C16F8"/>
    <w:rsid w:val="001C1726"/>
    <w:rsid w:val="001D47DC"/>
    <w:rsid w:val="001D5025"/>
    <w:rsid w:val="001D54CE"/>
    <w:rsid w:val="001D6CFC"/>
    <w:rsid w:val="001D751F"/>
    <w:rsid w:val="001D7FA0"/>
    <w:rsid w:val="001E5B23"/>
    <w:rsid w:val="001F01CE"/>
    <w:rsid w:val="001F0F81"/>
    <w:rsid w:val="001F1817"/>
    <w:rsid w:val="001F2385"/>
    <w:rsid w:val="001F2769"/>
    <w:rsid w:val="00201C10"/>
    <w:rsid w:val="00201F4D"/>
    <w:rsid w:val="00202367"/>
    <w:rsid w:val="00203298"/>
    <w:rsid w:val="00204318"/>
    <w:rsid w:val="0020592C"/>
    <w:rsid w:val="002073A1"/>
    <w:rsid w:val="00210F78"/>
    <w:rsid w:val="00211CB8"/>
    <w:rsid w:val="00212D41"/>
    <w:rsid w:val="00215294"/>
    <w:rsid w:val="00215718"/>
    <w:rsid w:val="002162D5"/>
    <w:rsid w:val="0022063A"/>
    <w:rsid w:val="00222801"/>
    <w:rsid w:val="002234B7"/>
    <w:rsid w:val="0022765C"/>
    <w:rsid w:val="00231A17"/>
    <w:rsid w:val="00231EA8"/>
    <w:rsid w:val="0023718D"/>
    <w:rsid w:val="002402A3"/>
    <w:rsid w:val="00245548"/>
    <w:rsid w:val="002462A8"/>
    <w:rsid w:val="002469D5"/>
    <w:rsid w:val="00246C73"/>
    <w:rsid w:val="00252235"/>
    <w:rsid w:val="0025296E"/>
    <w:rsid w:val="002541D1"/>
    <w:rsid w:val="00254791"/>
    <w:rsid w:val="00254818"/>
    <w:rsid w:val="00254A05"/>
    <w:rsid w:val="00255A7C"/>
    <w:rsid w:val="002566AE"/>
    <w:rsid w:val="00260895"/>
    <w:rsid w:val="00262F25"/>
    <w:rsid w:val="00272247"/>
    <w:rsid w:val="0027242C"/>
    <w:rsid w:val="00280D4B"/>
    <w:rsid w:val="0028200E"/>
    <w:rsid w:val="00282DFB"/>
    <w:rsid w:val="00283427"/>
    <w:rsid w:val="00283448"/>
    <w:rsid w:val="00286C09"/>
    <w:rsid w:val="002879F3"/>
    <w:rsid w:val="0029245B"/>
    <w:rsid w:val="00293250"/>
    <w:rsid w:val="00295942"/>
    <w:rsid w:val="002A0963"/>
    <w:rsid w:val="002A19B9"/>
    <w:rsid w:val="002A5803"/>
    <w:rsid w:val="002A76AB"/>
    <w:rsid w:val="002B067C"/>
    <w:rsid w:val="002B3C11"/>
    <w:rsid w:val="002B587B"/>
    <w:rsid w:val="002B58A3"/>
    <w:rsid w:val="002B59D9"/>
    <w:rsid w:val="002B6923"/>
    <w:rsid w:val="002B798C"/>
    <w:rsid w:val="002C02BF"/>
    <w:rsid w:val="002C0F47"/>
    <w:rsid w:val="002C1A6A"/>
    <w:rsid w:val="002C5AB4"/>
    <w:rsid w:val="002C60C8"/>
    <w:rsid w:val="002D1B01"/>
    <w:rsid w:val="002D42B3"/>
    <w:rsid w:val="002D4A4E"/>
    <w:rsid w:val="002D5950"/>
    <w:rsid w:val="002E14B6"/>
    <w:rsid w:val="002E5B77"/>
    <w:rsid w:val="002F53F7"/>
    <w:rsid w:val="002F773E"/>
    <w:rsid w:val="002F7A0D"/>
    <w:rsid w:val="002F7FD6"/>
    <w:rsid w:val="00304DA8"/>
    <w:rsid w:val="00305C3A"/>
    <w:rsid w:val="00307653"/>
    <w:rsid w:val="00307B25"/>
    <w:rsid w:val="00314005"/>
    <w:rsid w:val="003146B5"/>
    <w:rsid w:val="0031499F"/>
    <w:rsid w:val="00321581"/>
    <w:rsid w:val="00322764"/>
    <w:rsid w:val="00322ED0"/>
    <w:rsid w:val="00325E4A"/>
    <w:rsid w:val="00326787"/>
    <w:rsid w:val="00333D0F"/>
    <w:rsid w:val="003363FD"/>
    <w:rsid w:val="00337270"/>
    <w:rsid w:val="003447CE"/>
    <w:rsid w:val="00345E79"/>
    <w:rsid w:val="003508B7"/>
    <w:rsid w:val="00352C0A"/>
    <w:rsid w:val="003558D9"/>
    <w:rsid w:val="0035590B"/>
    <w:rsid w:val="00355FEF"/>
    <w:rsid w:val="00357D0B"/>
    <w:rsid w:val="00360F07"/>
    <w:rsid w:val="00361A0E"/>
    <w:rsid w:val="0036317D"/>
    <w:rsid w:val="0036333A"/>
    <w:rsid w:val="00363841"/>
    <w:rsid w:val="003643CF"/>
    <w:rsid w:val="00364D47"/>
    <w:rsid w:val="00371DCD"/>
    <w:rsid w:val="00372068"/>
    <w:rsid w:val="0037405B"/>
    <w:rsid w:val="0039165E"/>
    <w:rsid w:val="00391844"/>
    <w:rsid w:val="0039244C"/>
    <w:rsid w:val="00394C13"/>
    <w:rsid w:val="00395FF0"/>
    <w:rsid w:val="003A0C62"/>
    <w:rsid w:val="003A4F33"/>
    <w:rsid w:val="003A65E4"/>
    <w:rsid w:val="003B049E"/>
    <w:rsid w:val="003B3B9F"/>
    <w:rsid w:val="003B70D7"/>
    <w:rsid w:val="003C01DD"/>
    <w:rsid w:val="003C12DA"/>
    <w:rsid w:val="003C543E"/>
    <w:rsid w:val="003C54A5"/>
    <w:rsid w:val="003C5ADE"/>
    <w:rsid w:val="003C70FE"/>
    <w:rsid w:val="003D0805"/>
    <w:rsid w:val="003D0907"/>
    <w:rsid w:val="003D1EC1"/>
    <w:rsid w:val="003D3D43"/>
    <w:rsid w:val="003D3FB8"/>
    <w:rsid w:val="003D6212"/>
    <w:rsid w:val="003D636D"/>
    <w:rsid w:val="003D651A"/>
    <w:rsid w:val="003E06C0"/>
    <w:rsid w:val="003E35ED"/>
    <w:rsid w:val="003E7337"/>
    <w:rsid w:val="003F2BFD"/>
    <w:rsid w:val="004008BC"/>
    <w:rsid w:val="0040274E"/>
    <w:rsid w:val="00407F21"/>
    <w:rsid w:val="00410084"/>
    <w:rsid w:val="00411004"/>
    <w:rsid w:val="00411F87"/>
    <w:rsid w:val="0041285B"/>
    <w:rsid w:val="00413C7B"/>
    <w:rsid w:val="00414474"/>
    <w:rsid w:val="00415DA2"/>
    <w:rsid w:val="00416443"/>
    <w:rsid w:val="00423E56"/>
    <w:rsid w:val="00424B80"/>
    <w:rsid w:val="00426BBB"/>
    <w:rsid w:val="0042795B"/>
    <w:rsid w:val="00427E30"/>
    <w:rsid w:val="004321D8"/>
    <w:rsid w:val="00432A6A"/>
    <w:rsid w:val="00437B90"/>
    <w:rsid w:val="00444C09"/>
    <w:rsid w:val="004451F8"/>
    <w:rsid w:val="00446A8B"/>
    <w:rsid w:val="004518F3"/>
    <w:rsid w:val="004526E9"/>
    <w:rsid w:val="004569EB"/>
    <w:rsid w:val="004609D1"/>
    <w:rsid w:val="0046163D"/>
    <w:rsid w:val="0046749E"/>
    <w:rsid w:val="004705C8"/>
    <w:rsid w:val="0047148B"/>
    <w:rsid w:val="00471C65"/>
    <w:rsid w:val="00472EC8"/>
    <w:rsid w:val="004737D7"/>
    <w:rsid w:val="00473895"/>
    <w:rsid w:val="00475D9C"/>
    <w:rsid w:val="00480662"/>
    <w:rsid w:val="00480D8B"/>
    <w:rsid w:val="00481406"/>
    <w:rsid w:val="00482745"/>
    <w:rsid w:val="0048466E"/>
    <w:rsid w:val="0048594F"/>
    <w:rsid w:val="00486324"/>
    <w:rsid w:val="00486553"/>
    <w:rsid w:val="004907AC"/>
    <w:rsid w:val="00490D3E"/>
    <w:rsid w:val="00491872"/>
    <w:rsid w:val="004960A6"/>
    <w:rsid w:val="00496A23"/>
    <w:rsid w:val="00496CBB"/>
    <w:rsid w:val="00497A93"/>
    <w:rsid w:val="004A1307"/>
    <w:rsid w:val="004A4727"/>
    <w:rsid w:val="004A6782"/>
    <w:rsid w:val="004B4D9D"/>
    <w:rsid w:val="004B6F9B"/>
    <w:rsid w:val="004B72E3"/>
    <w:rsid w:val="004C1828"/>
    <w:rsid w:val="004C18BA"/>
    <w:rsid w:val="004C3ED4"/>
    <w:rsid w:val="004C56FE"/>
    <w:rsid w:val="004C5A05"/>
    <w:rsid w:val="004C6406"/>
    <w:rsid w:val="004C6A02"/>
    <w:rsid w:val="004D10BE"/>
    <w:rsid w:val="004D1569"/>
    <w:rsid w:val="004D1660"/>
    <w:rsid w:val="004D6A0E"/>
    <w:rsid w:val="004D6F31"/>
    <w:rsid w:val="004D7253"/>
    <w:rsid w:val="004D7EE6"/>
    <w:rsid w:val="004E0F3E"/>
    <w:rsid w:val="004E33A3"/>
    <w:rsid w:val="004E434B"/>
    <w:rsid w:val="004E43CE"/>
    <w:rsid w:val="004E7FEF"/>
    <w:rsid w:val="004F4053"/>
    <w:rsid w:val="004F5F9C"/>
    <w:rsid w:val="00500D3F"/>
    <w:rsid w:val="00501AA3"/>
    <w:rsid w:val="00504AE8"/>
    <w:rsid w:val="00512E0E"/>
    <w:rsid w:val="00513940"/>
    <w:rsid w:val="00515861"/>
    <w:rsid w:val="00515FC8"/>
    <w:rsid w:val="005163B0"/>
    <w:rsid w:val="0051647C"/>
    <w:rsid w:val="0051746C"/>
    <w:rsid w:val="00520C8B"/>
    <w:rsid w:val="005211AF"/>
    <w:rsid w:val="00524200"/>
    <w:rsid w:val="00525F4A"/>
    <w:rsid w:val="005263E7"/>
    <w:rsid w:val="0052658B"/>
    <w:rsid w:val="00526B9A"/>
    <w:rsid w:val="005307F9"/>
    <w:rsid w:val="00530DEB"/>
    <w:rsid w:val="00531C60"/>
    <w:rsid w:val="005324DC"/>
    <w:rsid w:val="00533079"/>
    <w:rsid w:val="0053366D"/>
    <w:rsid w:val="00534F49"/>
    <w:rsid w:val="00540D2E"/>
    <w:rsid w:val="00543541"/>
    <w:rsid w:val="00543CBD"/>
    <w:rsid w:val="005450AB"/>
    <w:rsid w:val="005470BA"/>
    <w:rsid w:val="00554ABF"/>
    <w:rsid w:val="00554C1A"/>
    <w:rsid w:val="005571A3"/>
    <w:rsid w:val="005602CC"/>
    <w:rsid w:val="00561435"/>
    <w:rsid w:val="00564404"/>
    <w:rsid w:val="00565C3B"/>
    <w:rsid w:val="005735DF"/>
    <w:rsid w:val="00574698"/>
    <w:rsid w:val="00575138"/>
    <w:rsid w:val="00580BFE"/>
    <w:rsid w:val="005812D4"/>
    <w:rsid w:val="00581BCB"/>
    <w:rsid w:val="005822FB"/>
    <w:rsid w:val="0058283E"/>
    <w:rsid w:val="00582966"/>
    <w:rsid w:val="00590DCB"/>
    <w:rsid w:val="00591202"/>
    <w:rsid w:val="0059125A"/>
    <w:rsid w:val="00591F12"/>
    <w:rsid w:val="00592E35"/>
    <w:rsid w:val="005932DD"/>
    <w:rsid w:val="005946C6"/>
    <w:rsid w:val="005953B2"/>
    <w:rsid w:val="0059610E"/>
    <w:rsid w:val="005A0266"/>
    <w:rsid w:val="005A0B01"/>
    <w:rsid w:val="005A249B"/>
    <w:rsid w:val="005A26C9"/>
    <w:rsid w:val="005A4580"/>
    <w:rsid w:val="005A51A7"/>
    <w:rsid w:val="005A60B1"/>
    <w:rsid w:val="005A7F40"/>
    <w:rsid w:val="005B02F6"/>
    <w:rsid w:val="005B28F3"/>
    <w:rsid w:val="005B73DA"/>
    <w:rsid w:val="005C3552"/>
    <w:rsid w:val="005C4DAB"/>
    <w:rsid w:val="005C71C2"/>
    <w:rsid w:val="005D3900"/>
    <w:rsid w:val="005D3CD6"/>
    <w:rsid w:val="005D44F5"/>
    <w:rsid w:val="005D4579"/>
    <w:rsid w:val="005D46D8"/>
    <w:rsid w:val="005E0F8E"/>
    <w:rsid w:val="005E2199"/>
    <w:rsid w:val="005E232E"/>
    <w:rsid w:val="005E28BC"/>
    <w:rsid w:val="005E3712"/>
    <w:rsid w:val="005F00BC"/>
    <w:rsid w:val="005F4E58"/>
    <w:rsid w:val="005F5CF8"/>
    <w:rsid w:val="0060364D"/>
    <w:rsid w:val="00605819"/>
    <w:rsid w:val="00605A1C"/>
    <w:rsid w:val="00605B75"/>
    <w:rsid w:val="00605BBB"/>
    <w:rsid w:val="0060725F"/>
    <w:rsid w:val="00611752"/>
    <w:rsid w:val="00611CC3"/>
    <w:rsid w:val="006139D1"/>
    <w:rsid w:val="006146F0"/>
    <w:rsid w:val="006154AA"/>
    <w:rsid w:val="00617493"/>
    <w:rsid w:val="00621300"/>
    <w:rsid w:val="00621FB4"/>
    <w:rsid w:val="00623428"/>
    <w:rsid w:val="006253B4"/>
    <w:rsid w:val="00626C74"/>
    <w:rsid w:val="00630239"/>
    <w:rsid w:val="00632D64"/>
    <w:rsid w:val="0063440E"/>
    <w:rsid w:val="00636E14"/>
    <w:rsid w:val="006460E6"/>
    <w:rsid w:val="00646C63"/>
    <w:rsid w:val="00646FC0"/>
    <w:rsid w:val="006506F8"/>
    <w:rsid w:val="006579F3"/>
    <w:rsid w:val="006610A2"/>
    <w:rsid w:val="00663178"/>
    <w:rsid w:val="00663408"/>
    <w:rsid w:val="00663A3F"/>
    <w:rsid w:val="00664F1D"/>
    <w:rsid w:val="00665824"/>
    <w:rsid w:val="006703F2"/>
    <w:rsid w:val="006760C3"/>
    <w:rsid w:val="006802B8"/>
    <w:rsid w:val="00680E37"/>
    <w:rsid w:val="0068244C"/>
    <w:rsid w:val="0068320F"/>
    <w:rsid w:val="00686DCF"/>
    <w:rsid w:val="00687261"/>
    <w:rsid w:val="00691018"/>
    <w:rsid w:val="006924AD"/>
    <w:rsid w:val="00692C76"/>
    <w:rsid w:val="006932FB"/>
    <w:rsid w:val="0069341C"/>
    <w:rsid w:val="00695ACF"/>
    <w:rsid w:val="006A6B66"/>
    <w:rsid w:val="006A6B91"/>
    <w:rsid w:val="006B2771"/>
    <w:rsid w:val="006B64EA"/>
    <w:rsid w:val="006B6713"/>
    <w:rsid w:val="006B6AE3"/>
    <w:rsid w:val="006B7D3B"/>
    <w:rsid w:val="006B7FF4"/>
    <w:rsid w:val="006C15D5"/>
    <w:rsid w:val="006C23B1"/>
    <w:rsid w:val="006C3C10"/>
    <w:rsid w:val="006C474D"/>
    <w:rsid w:val="006C5332"/>
    <w:rsid w:val="006D088D"/>
    <w:rsid w:val="006D1D18"/>
    <w:rsid w:val="006D2F01"/>
    <w:rsid w:val="006E0B69"/>
    <w:rsid w:val="006E47D4"/>
    <w:rsid w:val="006E71FB"/>
    <w:rsid w:val="006F2CA1"/>
    <w:rsid w:val="006F349E"/>
    <w:rsid w:val="006F3C2D"/>
    <w:rsid w:val="006F7081"/>
    <w:rsid w:val="006F77B4"/>
    <w:rsid w:val="006F7C70"/>
    <w:rsid w:val="00700887"/>
    <w:rsid w:val="00702499"/>
    <w:rsid w:val="00702C08"/>
    <w:rsid w:val="00705BB7"/>
    <w:rsid w:val="007100D4"/>
    <w:rsid w:val="00712A21"/>
    <w:rsid w:val="00716084"/>
    <w:rsid w:val="0071722F"/>
    <w:rsid w:val="00717941"/>
    <w:rsid w:val="007200C5"/>
    <w:rsid w:val="00720A11"/>
    <w:rsid w:val="00721CE0"/>
    <w:rsid w:val="007243F6"/>
    <w:rsid w:val="007247DA"/>
    <w:rsid w:val="00725660"/>
    <w:rsid w:val="00725AB9"/>
    <w:rsid w:val="00726B20"/>
    <w:rsid w:val="00733992"/>
    <w:rsid w:val="007378B1"/>
    <w:rsid w:val="00740B44"/>
    <w:rsid w:val="007433E1"/>
    <w:rsid w:val="00743686"/>
    <w:rsid w:val="007442B2"/>
    <w:rsid w:val="007455AB"/>
    <w:rsid w:val="007469E0"/>
    <w:rsid w:val="00747365"/>
    <w:rsid w:val="00750302"/>
    <w:rsid w:val="00752A35"/>
    <w:rsid w:val="00765AE2"/>
    <w:rsid w:val="007665F0"/>
    <w:rsid w:val="0076774A"/>
    <w:rsid w:val="007730DF"/>
    <w:rsid w:val="007740E2"/>
    <w:rsid w:val="00776153"/>
    <w:rsid w:val="00776ED8"/>
    <w:rsid w:val="00777195"/>
    <w:rsid w:val="007818CB"/>
    <w:rsid w:val="00781C4A"/>
    <w:rsid w:val="00782E5D"/>
    <w:rsid w:val="007841B4"/>
    <w:rsid w:val="00785C88"/>
    <w:rsid w:val="0079067E"/>
    <w:rsid w:val="00791BBE"/>
    <w:rsid w:val="00792521"/>
    <w:rsid w:val="007934E2"/>
    <w:rsid w:val="00795358"/>
    <w:rsid w:val="00795CFB"/>
    <w:rsid w:val="00795EF3"/>
    <w:rsid w:val="007A0882"/>
    <w:rsid w:val="007A3B36"/>
    <w:rsid w:val="007A4AF4"/>
    <w:rsid w:val="007A5250"/>
    <w:rsid w:val="007B2C1D"/>
    <w:rsid w:val="007C0F26"/>
    <w:rsid w:val="007C27AC"/>
    <w:rsid w:val="007C2E0F"/>
    <w:rsid w:val="007C5070"/>
    <w:rsid w:val="007C6935"/>
    <w:rsid w:val="007D4F1E"/>
    <w:rsid w:val="007E0C60"/>
    <w:rsid w:val="007E127B"/>
    <w:rsid w:val="007E1465"/>
    <w:rsid w:val="007E431E"/>
    <w:rsid w:val="007E44E8"/>
    <w:rsid w:val="007F3164"/>
    <w:rsid w:val="007F752C"/>
    <w:rsid w:val="007F7FB7"/>
    <w:rsid w:val="008024E3"/>
    <w:rsid w:val="00802EC5"/>
    <w:rsid w:val="00802F52"/>
    <w:rsid w:val="00804C35"/>
    <w:rsid w:val="0080639A"/>
    <w:rsid w:val="00810CDD"/>
    <w:rsid w:val="00812F2A"/>
    <w:rsid w:val="00814A7B"/>
    <w:rsid w:val="00816F62"/>
    <w:rsid w:val="00820453"/>
    <w:rsid w:val="00822FE7"/>
    <w:rsid w:val="00824A89"/>
    <w:rsid w:val="008271B6"/>
    <w:rsid w:val="008307F6"/>
    <w:rsid w:val="00834260"/>
    <w:rsid w:val="0083697D"/>
    <w:rsid w:val="00836E5B"/>
    <w:rsid w:val="00837F38"/>
    <w:rsid w:val="00842B30"/>
    <w:rsid w:val="008443B2"/>
    <w:rsid w:val="00844972"/>
    <w:rsid w:val="00845D24"/>
    <w:rsid w:val="00846CA4"/>
    <w:rsid w:val="00850649"/>
    <w:rsid w:val="00853936"/>
    <w:rsid w:val="00857960"/>
    <w:rsid w:val="00857A25"/>
    <w:rsid w:val="00857C90"/>
    <w:rsid w:val="008611B6"/>
    <w:rsid w:val="00870E69"/>
    <w:rsid w:val="00871E7D"/>
    <w:rsid w:val="008763AC"/>
    <w:rsid w:val="008764AF"/>
    <w:rsid w:val="0087702C"/>
    <w:rsid w:val="00877413"/>
    <w:rsid w:val="008809D6"/>
    <w:rsid w:val="00882DEF"/>
    <w:rsid w:val="00883625"/>
    <w:rsid w:val="008846CF"/>
    <w:rsid w:val="0088535D"/>
    <w:rsid w:val="008859FB"/>
    <w:rsid w:val="00892370"/>
    <w:rsid w:val="0089783D"/>
    <w:rsid w:val="008A11C4"/>
    <w:rsid w:val="008A2AEA"/>
    <w:rsid w:val="008A2B51"/>
    <w:rsid w:val="008A5260"/>
    <w:rsid w:val="008A760A"/>
    <w:rsid w:val="008A7895"/>
    <w:rsid w:val="008B24A0"/>
    <w:rsid w:val="008B516B"/>
    <w:rsid w:val="008B57A2"/>
    <w:rsid w:val="008B7F38"/>
    <w:rsid w:val="008C0DEC"/>
    <w:rsid w:val="008C2A98"/>
    <w:rsid w:val="008C3EB1"/>
    <w:rsid w:val="008D1DCB"/>
    <w:rsid w:val="008D2B99"/>
    <w:rsid w:val="008D7FA3"/>
    <w:rsid w:val="008E1767"/>
    <w:rsid w:val="008E29B0"/>
    <w:rsid w:val="008E353E"/>
    <w:rsid w:val="008E7ECB"/>
    <w:rsid w:val="008F2134"/>
    <w:rsid w:val="008F5B04"/>
    <w:rsid w:val="008F5B08"/>
    <w:rsid w:val="008F6C9F"/>
    <w:rsid w:val="008F7064"/>
    <w:rsid w:val="008F72E8"/>
    <w:rsid w:val="0090343E"/>
    <w:rsid w:val="00904F72"/>
    <w:rsid w:val="00907D3D"/>
    <w:rsid w:val="00910C93"/>
    <w:rsid w:val="00912A80"/>
    <w:rsid w:val="00920BEC"/>
    <w:rsid w:val="00921B7C"/>
    <w:rsid w:val="00922018"/>
    <w:rsid w:val="00922062"/>
    <w:rsid w:val="009249FC"/>
    <w:rsid w:val="009265FA"/>
    <w:rsid w:val="0092756B"/>
    <w:rsid w:val="00931DD0"/>
    <w:rsid w:val="0093206D"/>
    <w:rsid w:val="00933358"/>
    <w:rsid w:val="0093374C"/>
    <w:rsid w:val="00937E6E"/>
    <w:rsid w:val="009412D3"/>
    <w:rsid w:val="00944A61"/>
    <w:rsid w:val="00946483"/>
    <w:rsid w:val="0096107D"/>
    <w:rsid w:val="00961386"/>
    <w:rsid w:val="00961AB7"/>
    <w:rsid w:val="00962CBC"/>
    <w:rsid w:val="00963952"/>
    <w:rsid w:val="009664F2"/>
    <w:rsid w:val="00967BE5"/>
    <w:rsid w:val="00970BF2"/>
    <w:rsid w:val="009735BD"/>
    <w:rsid w:val="00974146"/>
    <w:rsid w:val="00977301"/>
    <w:rsid w:val="00977375"/>
    <w:rsid w:val="00977C11"/>
    <w:rsid w:val="00987FE9"/>
    <w:rsid w:val="00990086"/>
    <w:rsid w:val="0099026B"/>
    <w:rsid w:val="009902DF"/>
    <w:rsid w:val="009907EF"/>
    <w:rsid w:val="00990C6C"/>
    <w:rsid w:val="0099154D"/>
    <w:rsid w:val="009918BF"/>
    <w:rsid w:val="00992D1B"/>
    <w:rsid w:val="009A0594"/>
    <w:rsid w:val="009A1666"/>
    <w:rsid w:val="009A2B2B"/>
    <w:rsid w:val="009A3C12"/>
    <w:rsid w:val="009A7A6A"/>
    <w:rsid w:val="009B0860"/>
    <w:rsid w:val="009B1188"/>
    <w:rsid w:val="009B2A65"/>
    <w:rsid w:val="009B5D87"/>
    <w:rsid w:val="009C5B3D"/>
    <w:rsid w:val="009C6098"/>
    <w:rsid w:val="009C7EDD"/>
    <w:rsid w:val="009D01E6"/>
    <w:rsid w:val="009D10E8"/>
    <w:rsid w:val="009D39A0"/>
    <w:rsid w:val="009D44E0"/>
    <w:rsid w:val="009D59D8"/>
    <w:rsid w:val="009E61CC"/>
    <w:rsid w:val="009E7A8B"/>
    <w:rsid w:val="009F4DFF"/>
    <w:rsid w:val="009F5156"/>
    <w:rsid w:val="009F75CF"/>
    <w:rsid w:val="009F7A52"/>
    <w:rsid w:val="00A024CF"/>
    <w:rsid w:val="00A02E7A"/>
    <w:rsid w:val="00A13C7C"/>
    <w:rsid w:val="00A13F65"/>
    <w:rsid w:val="00A145DB"/>
    <w:rsid w:val="00A1532A"/>
    <w:rsid w:val="00A15AC8"/>
    <w:rsid w:val="00A202A8"/>
    <w:rsid w:val="00A22CC0"/>
    <w:rsid w:val="00A23DAE"/>
    <w:rsid w:val="00A25212"/>
    <w:rsid w:val="00A304EB"/>
    <w:rsid w:val="00A345A1"/>
    <w:rsid w:val="00A37A06"/>
    <w:rsid w:val="00A42A05"/>
    <w:rsid w:val="00A44709"/>
    <w:rsid w:val="00A455B9"/>
    <w:rsid w:val="00A50D0A"/>
    <w:rsid w:val="00A525C1"/>
    <w:rsid w:val="00A52BBD"/>
    <w:rsid w:val="00A54F41"/>
    <w:rsid w:val="00A5623C"/>
    <w:rsid w:val="00A5625F"/>
    <w:rsid w:val="00A6303E"/>
    <w:rsid w:val="00A64A21"/>
    <w:rsid w:val="00A65558"/>
    <w:rsid w:val="00A66C57"/>
    <w:rsid w:val="00A67420"/>
    <w:rsid w:val="00A6794A"/>
    <w:rsid w:val="00A67A3A"/>
    <w:rsid w:val="00A700CA"/>
    <w:rsid w:val="00A71400"/>
    <w:rsid w:val="00A81C8C"/>
    <w:rsid w:val="00A90E95"/>
    <w:rsid w:val="00A921AB"/>
    <w:rsid w:val="00A92AFB"/>
    <w:rsid w:val="00A945E8"/>
    <w:rsid w:val="00A94633"/>
    <w:rsid w:val="00A96C2B"/>
    <w:rsid w:val="00AA7B53"/>
    <w:rsid w:val="00AB01F2"/>
    <w:rsid w:val="00AB3222"/>
    <w:rsid w:val="00AB49D5"/>
    <w:rsid w:val="00AB5D4B"/>
    <w:rsid w:val="00AB6D22"/>
    <w:rsid w:val="00AC1C06"/>
    <w:rsid w:val="00AD27A2"/>
    <w:rsid w:val="00AD3F63"/>
    <w:rsid w:val="00AE1B1F"/>
    <w:rsid w:val="00AE1DD9"/>
    <w:rsid w:val="00AE3B92"/>
    <w:rsid w:val="00AE6DE2"/>
    <w:rsid w:val="00AE7428"/>
    <w:rsid w:val="00AE7549"/>
    <w:rsid w:val="00AE77D0"/>
    <w:rsid w:val="00AE7F6A"/>
    <w:rsid w:val="00AF492E"/>
    <w:rsid w:val="00AF504D"/>
    <w:rsid w:val="00AF58C4"/>
    <w:rsid w:val="00AF67CC"/>
    <w:rsid w:val="00AF7CFF"/>
    <w:rsid w:val="00B022B0"/>
    <w:rsid w:val="00B04C06"/>
    <w:rsid w:val="00B0506C"/>
    <w:rsid w:val="00B05DB6"/>
    <w:rsid w:val="00B07E39"/>
    <w:rsid w:val="00B12467"/>
    <w:rsid w:val="00B16345"/>
    <w:rsid w:val="00B17590"/>
    <w:rsid w:val="00B17A91"/>
    <w:rsid w:val="00B21DCE"/>
    <w:rsid w:val="00B22A6C"/>
    <w:rsid w:val="00B23A5D"/>
    <w:rsid w:val="00B258D0"/>
    <w:rsid w:val="00B3174A"/>
    <w:rsid w:val="00B36E53"/>
    <w:rsid w:val="00B377F7"/>
    <w:rsid w:val="00B414AD"/>
    <w:rsid w:val="00B42449"/>
    <w:rsid w:val="00B43284"/>
    <w:rsid w:val="00B447EA"/>
    <w:rsid w:val="00B45A0F"/>
    <w:rsid w:val="00B46DEF"/>
    <w:rsid w:val="00B50C44"/>
    <w:rsid w:val="00B5223C"/>
    <w:rsid w:val="00B54311"/>
    <w:rsid w:val="00B662C1"/>
    <w:rsid w:val="00B678FB"/>
    <w:rsid w:val="00B71978"/>
    <w:rsid w:val="00B72B31"/>
    <w:rsid w:val="00B72CCD"/>
    <w:rsid w:val="00B73223"/>
    <w:rsid w:val="00B77FFC"/>
    <w:rsid w:val="00B83203"/>
    <w:rsid w:val="00B9074C"/>
    <w:rsid w:val="00B920D8"/>
    <w:rsid w:val="00B92DEB"/>
    <w:rsid w:val="00B934A4"/>
    <w:rsid w:val="00B94099"/>
    <w:rsid w:val="00B95903"/>
    <w:rsid w:val="00B95C28"/>
    <w:rsid w:val="00B977E3"/>
    <w:rsid w:val="00B97A22"/>
    <w:rsid w:val="00BA6308"/>
    <w:rsid w:val="00BA6930"/>
    <w:rsid w:val="00BB20FD"/>
    <w:rsid w:val="00BB3BFC"/>
    <w:rsid w:val="00BB6E15"/>
    <w:rsid w:val="00BC3A27"/>
    <w:rsid w:val="00BC64BF"/>
    <w:rsid w:val="00BC64F9"/>
    <w:rsid w:val="00BC74EC"/>
    <w:rsid w:val="00BC7FFD"/>
    <w:rsid w:val="00BD04B1"/>
    <w:rsid w:val="00BD2EA3"/>
    <w:rsid w:val="00BD2F3B"/>
    <w:rsid w:val="00BD3BEB"/>
    <w:rsid w:val="00BD4362"/>
    <w:rsid w:val="00BD6972"/>
    <w:rsid w:val="00BD6C5F"/>
    <w:rsid w:val="00BE2513"/>
    <w:rsid w:val="00BE2B59"/>
    <w:rsid w:val="00BE33B2"/>
    <w:rsid w:val="00BE3BB0"/>
    <w:rsid w:val="00BE3CDB"/>
    <w:rsid w:val="00BE7AA4"/>
    <w:rsid w:val="00BF18B9"/>
    <w:rsid w:val="00BF2C0A"/>
    <w:rsid w:val="00BF3015"/>
    <w:rsid w:val="00BF4D14"/>
    <w:rsid w:val="00C00F0D"/>
    <w:rsid w:val="00C03E55"/>
    <w:rsid w:val="00C06687"/>
    <w:rsid w:val="00C070AB"/>
    <w:rsid w:val="00C07385"/>
    <w:rsid w:val="00C079D6"/>
    <w:rsid w:val="00C07D18"/>
    <w:rsid w:val="00C14DE3"/>
    <w:rsid w:val="00C162D8"/>
    <w:rsid w:val="00C20B2A"/>
    <w:rsid w:val="00C21C71"/>
    <w:rsid w:val="00C21EF4"/>
    <w:rsid w:val="00C2355B"/>
    <w:rsid w:val="00C23C60"/>
    <w:rsid w:val="00C34810"/>
    <w:rsid w:val="00C34B95"/>
    <w:rsid w:val="00C40003"/>
    <w:rsid w:val="00C418F2"/>
    <w:rsid w:val="00C41C17"/>
    <w:rsid w:val="00C435C2"/>
    <w:rsid w:val="00C43F16"/>
    <w:rsid w:val="00C4556E"/>
    <w:rsid w:val="00C45E40"/>
    <w:rsid w:val="00C50BB6"/>
    <w:rsid w:val="00C510E8"/>
    <w:rsid w:val="00C52AD0"/>
    <w:rsid w:val="00C52CDD"/>
    <w:rsid w:val="00C533F2"/>
    <w:rsid w:val="00C54BD2"/>
    <w:rsid w:val="00C55A75"/>
    <w:rsid w:val="00C55D20"/>
    <w:rsid w:val="00C615E5"/>
    <w:rsid w:val="00C62D30"/>
    <w:rsid w:val="00C65F26"/>
    <w:rsid w:val="00C67676"/>
    <w:rsid w:val="00C678C6"/>
    <w:rsid w:val="00C70505"/>
    <w:rsid w:val="00C71C02"/>
    <w:rsid w:val="00C72661"/>
    <w:rsid w:val="00C75F13"/>
    <w:rsid w:val="00C807EA"/>
    <w:rsid w:val="00C80929"/>
    <w:rsid w:val="00C80B72"/>
    <w:rsid w:val="00C84806"/>
    <w:rsid w:val="00C85609"/>
    <w:rsid w:val="00C856E8"/>
    <w:rsid w:val="00C869B0"/>
    <w:rsid w:val="00C913FE"/>
    <w:rsid w:val="00C92390"/>
    <w:rsid w:val="00C92B50"/>
    <w:rsid w:val="00C93225"/>
    <w:rsid w:val="00C94A9F"/>
    <w:rsid w:val="00C97FAD"/>
    <w:rsid w:val="00CA0CCA"/>
    <w:rsid w:val="00CA0E49"/>
    <w:rsid w:val="00CA1520"/>
    <w:rsid w:val="00CA2E34"/>
    <w:rsid w:val="00CA508C"/>
    <w:rsid w:val="00CA7BC6"/>
    <w:rsid w:val="00CB14C9"/>
    <w:rsid w:val="00CB2789"/>
    <w:rsid w:val="00CB301F"/>
    <w:rsid w:val="00CB616D"/>
    <w:rsid w:val="00CB671F"/>
    <w:rsid w:val="00CC20C9"/>
    <w:rsid w:val="00CC5BA9"/>
    <w:rsid w:val="00CC7DD2"/>
    <w:rsid w:val="00CD23D4"/>
    <w:rsid w:val="00CD3306"/>
    <w:rsid w:val="00CD380B"/>
    <w:rsid w:val="00CD4751"/>
    <w:rsid w:val="00CD5CCF"/>
    <w:rsid w:val="00CD5FC9"/>
    <w:rsid w:val="00CD780E"/>
    <w:rsid w:val="00CE3027"/>
    <w:rsid w:val="00CE4C24"/>
    <w:rsid w:val="00CE5493"/>
    <w:rsid w:val="00CE54F0"/>
    <w:rsid w:val="00CE75F5"/>
    <w:rsid w:val="00CF06EF"/>
    <w:rsid w:val="00CF0868"/>
    <w:rsid w:val="00CF0A1D"/>
    <w:rsid w:val="00CF3890"/>
    <w:rsid w:val="00CF5287"/>
    <w:rsid w:val="00D0270A"/>
    <w:rsid w:val="00D02A16"/>
    <w:rsid w:val="00D03CA4"/>
    <w:rsid w:val="00D0403D"/>
    <w:rsid w:val="00D05946"/>
    <w:rsid w:val="00D06240"/>
    <w:rsid w:val="00D06C51"/>
    <w:rsid w:val="00D06F48"/>
    <w:rsid w:val="00D141C8"/>
    <w:rsid w:val="00D1457D"/>
    <w:rsid w:val="00D204B1"/>
    <w:rsid w:val="00D20806"/>
    <w:rsid w:val="00D2183E"/>
    <w:rsid w:val="00D222C0"/>
    <w:rsid w:val="00D227EF"/>
    <w:rsid w:val="00D26D31"/>
    <w:rsid w:val="00D319B4"/>
    <w:rsid w:val="00D32364"/>
    <w:rsid w:val="00D33A20"/>
    <w:rsid w:val="00D33D29"/>
    <w:rsid w:val="00D34899"/>
    <w:rsid w:val="00D352D5"/>
    <w:rsid w:val="00D3585B"/>
    <w:rsid w:val="00D3673E"/>
    <w:rsid w:val="00D36AD7"/>
    <w:rsid w:val="00D37960"/>
    <w:rsid w:val="00D41E2D"/>
    <w:rsid w:val="00D44EF4"/>
    <w:rsid w:val="00D5637B"/>
    <w:rsid w:val="00D5795E"/>
    <w:rsid w:val="00D60656"/>
    <w:rsid w:val="00D61220"/>
    <w:rsid w:val="00D61546"/>
    <w:rsid w:val="00D617D4"/>
    <w:rsid w:val="00D623A5"/>
    <w:rsid w:val="00D62C3F"/>
    <w:rsid w:val="00D6700C"/>
    <w:rsid w:val="00D6787A"/>
    <w:rsid w:val="00D73F51"/>
    <w:rsid w:val="00D75157"/>
    <w:rsid w:val="00D75B7F"/>
    <w:rsid w:val="00D76D80"/>
    <w:rsid w:val="00D82062"/>
    <w:rsid w:val="00D8256F"/>
    <w:rsid w:val="00D8261D"/>
    <w:rsid w:val="00D833DA"/>
    <w:rsid w:val="00D84AA8"/>
    <w:rsid w:val="00D85191"/>
    <w:rsid w:val="00D867EA"/>
    <w:rsid w:val="00D90E4F"/>
    <w:rsid w:val="00D91462"/>
    <w:rsid w:val="00D93151"/>
    <w:rsid w:val="00D97BF4"/>
    <w:rsid w:val="00DA1AC4"/>
    <w:rsid w:val="00DA3118"/>
    <w:rsid w:val="00DA4B8A"/>
    <w:rsid w:val="00DA4E12"/>
    <w:rsid w:val="00DA4F5A"/>
    <w:rsid w:val="00DA5823"/>
    <w:rsid w:val="00DA66D5"/>
    <w:rsid w:val="00DB3C4D"/>
    <w:rsid w:val="00DB7079"/>
    <w:rsid w:val="00DB792C"/>
    <w:rsid w:val="00DC06C9"/>
    <w:rsid w:val="00DC4E3E"/>
    <w:rsid w:val="00DC5692"/>
    <w:rsid w:val="00DC6A6D"/>
    <w:rsid w:val="00DC6B23"/>
    <w:rsid w:val="00DD14D0"/>
    <w:rsid w:val="00DD1FD5"/>
    <w:rsid w:val="00DD3309"/>
    <w:rsid w:val="00DD3EAB"/>
    <w:rsid w:val="00DD52E5"/>
    <w:rsid w:val="00DD652E"/>
    <w:rsid w:val="00DD6FAA"/>
    <w:rsid w:val="00DE0A4A"/>
    <w:rsid w:val="00DE143A"/>
    <w:rsid w:val="00DE2AA3"/>
    <w:rsid w:val="00DE41FE"/>
    <w:rsid w:val="00DE4401"/>
    <w:rsid w:val="00DE5718"/>
    <w:rsid w:val="00DF01A0"/>
    <w:rsid w:val="00DF1139"/>
    <w:rsid w:val="00DF3E91"/>
    <w:rsid w:val="00DF6B7C"/>
    <w:rsid w:val="00DF7CCD"/>
    <w:rsid w:val="00E07653"/>
    <w:rsid w:val="00E07A56"/>
    <w:rsid w:val="00E100CF"/>
    <w:rsid w:val="00E10F6E"/>
    <w:rsid w:val="00E15951"/>
    <w:rsid w:val="00E15FBA"/>
    <w:rsid w:val="00E20280"/>
    <w:rsid w:val="00E2211A"/>
    <w:rsid w:val="00E264BD"/>
    <w:rsid w:val="00E26992"/>
    <w:rsid w:val="00E34667"/>
    <w:rsid w:val="00E34DCD"/>
    <w:rsid w:val="00E36BFE"/>
    <w:rsid w:val="00E4063F"/>
    <w:rsid w:val="00E41414"/>
    <w:rsid w:val="00E424A8"/>
    <w:rsid w:val="00E4496A"/>
    <w:rsid w:val="00E45346"/>
    <w:rsid w:val="00E47EEC"/>
    <w:rsid w:val="00E531CC"/>
    <w:rsid w:val="00E53B51"/>
    <w:rsid w:val="00E55C19"/>
    <w:rsid w:val="00E55D5A"/>
    <w:rsid w:val="00E567F9"/>
    <w:rsid w:val="00E60FD9"/>
    <w:rsid w:val="00E611FF"/>
    <w:rsid w:val="00E621DA"/>
    <w:rsid w:val="00E647FD"/>
    <w:rsid w:val="00E64B5F"/>
    <w:rsid w:val="00E655B1"/>
    <w:rsid w:val="00E70E6D"/>
    <w:rsid w:val="00E755C1"/>
    <w:rsid w:val="00E770C7"/>
    <w:rsid w:val="00E83700"/>
    <w:rsid w:val="00E84A66"/>
    <w:rsid w:val="00E8633B"/>
    <w:rsid w:val="00E92F17"/>
    <w:rsid w:val="00E94C6D"/>
    <w:rsid w:val="00E9501F"/>
    <w:rsid w:val="00EA1ABA"/>
    <w:rsid w:val="00EA2387"/>
    <w:rsid w:val="00EA5C84"/>
    <w:rsid w:val="00EA5EDD"/>
    <w:rsid w:val="00EB0A75"/>
    <w:rsid w:val="00EB3F7A"/>
    <w:rsid w:val="00EB54A2"/>
    <w:rsid w:val="00EB6467"/>
    <w:rsid w:val="00EC038E"/>
    <w:rsid w:val="00EC2CEB"/>
    <w:rsid w:val="00EC5EE6"/>
    <w:rsid w:val="00ED136D"/>
    <w:rsid w:val="00ED1D5C"/>
    <w:rsid w:val="00ED3153"/>
    <w:rsid w:val="00ED4A86"/>
    <w:rsid w:val="00ED76E0"/>
    <w:rsid w:val="00EE0235"/>
    <w:rsid w:val="00EE60AB"/>
    <w:rsid w:val="00EE71C3"/>
    <w:rsid w:val="00EF0E3E"/>
    <w:rsid w:val="00EF2CF4"/>
    <w:rsid w:val="00EF428B"/>
    <w:rsid w:val="00EF5ED4"/>
    <w:rsid w:val="00EF6CFA"/>
    <w:rsid w:val="00EF76D1"/>
    <w:rsid w:val="00F00A90"/>
    <w:rsid w:val="00F03239"/>
    <w:rsid w:val="00F050D0"/>
    <w:rsid w:val="00F05AB2"/>
    <w:rsid w:val="00F1007E"/>
    <w:rsid w:val="00F13010"/>
    <w:rsid w:val="00F13B38"/>
    <w:rsid w:val="00F15CD4"/>
    <w:rsid w:val="00F20B0A"/>
    <w:rsid w:val="00F2225B"/>
    <w:rsid w:val="00F271E0"/>
    <w:rsid w:val="00F27405"/>
    <w:rsid w:val="00F278D0"/>
    <w:rsid w:val="00F27ADF"/>
    <w:rsid w:val="00F30F7E"/>
    <w:rsid w:val="00F3378A"/>
    <w:rsid w:val="00F35493"/>
    <w:rsid w:val="00F4046A"/>
    <w:rsid w:val="00F4158B"/>
    <w:rsid w:val="00F41BFD"/>
    <w:rsid w:val="00F42828"/>
    <w:rsid w:val="00F44988"/>
    <w:rsid w:val="00F45751"/>
    <w:rsid w:val="00F471EF"/>
    <w:rsid w:val="00F500FB"/>
    <w:rsid w:val="00F50815"/>
    <w:rsid w:val="00F508CE"/>
    <w:rsid w:val="00F52637"/>
    <w:rsid w:val="00F526C5"/>
    <w:rsid w:val="00F52ADB"/>
    <w:rsid w:val="00F53DB3"/>
    <w:rsid w:val="00F540F2"/>
    <w:rsid w:val="00F568E5"/>
    <w:rsid w:val="00F57161"/>
    <w:rsid w:val="00F61A54"/>
    <w:rsid w:val="00F633FF"/>
    <w:rsid w:val="00F63BC6"/>
    <w:rsid w:val="00F643F9"/>
    <w:rsid w:val="00F646FF"/>
    <w:rsid w:val="00F64D77"/>
    <w:rsid w:val="00F7159E"/>
    <w:rsid w:val="00F767EC"/>
    <w:rsid w:val="00F775CC"/>
    <w:rsid w:val="00F81206"/>
    <w:rsid w:val="00F81A42"/>
    <w:rsid w:val="00F82A4D"/>
    <w:rsid w:val="00F85603"/>
    <w:rsid w:val="00F87957"/>
    <w:rsid w:val="00F941BD"/>
    <w:rsid w:val="00F944C1"/>
    <w:rsid w:val="00F97B5D"/>
    <w:rsid w:val="00F97E7D"/>
    <w:rsid w:val="00FA0228"/>
    <w:rsid w:val="00FA0DB6"/>
    <w:rsid w:val="00FA113F"/>
    <w:rsid w:val="00FA1BBF"/>
    <w:rsid w:val="00FA33DA"/>
    <w:rsid w:val="00FA349F"/>
    <w:rsid w:val="00FB00B6"/>
    <w:rsid w:val="00FB0A6C"/>
    <w:rsid w:val="00FB0AE4"/>
    <w:rsid w:val="00FB20F6"/>
    <w:rsid w:val="00FB4212"/>
    <w:rsid w:val="00FB50FA"/>
    <w:rsid w:val="00FC3050"/>
    <w:rsid w:val="00FC37EA"/>
    <w:rsid w:val="00FC397A"/>
    <w:rsid w:val="00FC3B2D"/>
    <w:rsid w:val="00FC3DA2"/>
    <w:rsid w:val="00FC50A4"/>
    <w:rsid w:val="00FD130D"/>
    <w:rsid w:val="00FD1479"/>
    <w:rsid w:val="00FD45C6"/>
    <w:rsid w:val="00FD6BFB"/>
    <w:rsid w:val="00FD6E1F"/>
    <w:rsid w:val="00FE2242"/>
    <w:rsid w:val="00FE2DD0"/>
    <w:rsid w:val="00FE7D66"/>
    <w:rsid w:val="00FF0E8D"/>
    <w:rsid w:val="00FF109F"/>
    <w:rsid w:val="00FF2805"/>
    <w:rsid w:val="00FF4E21"/>
    <w:rsid w:val="00FF60B0"/>
    <w:rsid w:val="011076DB"/>
    <w:rsid w:val="018A7679"/>
    <w:rsid w:val="0195374C"/>
    <w:rsid w:val="02377C0A"/>
    <w:rsid w:val="02486643"/>
    <w:rsid w:val="024F161E"/>
    <w:rsid w:val="03AF117E"/>
    <w:rsid w:val="03B40DAE"/>
    <w:rsid w:val="03BB6210"/>
    <w:rsid w:val="03F97CA5"/>
    <w:rsid w:val="040A1CAB"/>
    <w:rsid w:val="04A35D02"/>
    <w:rsid w:val="04D631AD"/>
    <w:rsid w:val="04FB4053"/>
    <w:rsid w:val="05515C0A"/>
    <w:rsid w:val="05613ED6"/>
    <w:rsid w:val="056B5231"/>
    <w:rsid w:val="05B42F17"/>
    <w:rsid w:val="05C72C4A"/>
    <w:rsid w:val="05E74D99"/>
    <w:rsid w:val="05EC5978"/>
    <w:rsid w:val="06013E99"/>
    <w:rsid w:val="062A76DC"/>
    <w:rsid w:val="06477643"/>
    <w:rsid w:val="06736DB3"/>
    <w:rsid w:val="06914EFE"/>
    <w:rsid w:val="06A67635"/>
    <w:rsid w:val="06A962CD"/>
    <w:rsid w:val="06AD24D5"/>
    <w:rsid w:val="06BD35CC"/>
    <w:rsid w:val="06F0378A"/>
    <w:rsid w:val="07117A3E"/>
    <w:rsid w:val="07314C58"/>
    <w:rsid w:val="07554671"/>
    <w:rsid w:val="07705810"/>
    <w:rsid w:val="077223C1"/>
    <w:rsid w:val="07735E64"/>
    <w:rsid w:val="077D1303"/>
    <w:rsid w:val="079F7BAE"/>
    <w:rsid w:val="07D1602E"/>
    <w:rsid w:val="07DA7720"/>
    <w:rsid w:val="086D0CAC"/>
    <w:rsid w:val="089823CA"/>
    <w:rsid w:val="08F024B8"/>
    <w:rsid w:val="090E6DE2"/>
    <w:rsid w:val="091E3FAF"/>
    <w:rsid w:val="092925A6"/>
    <w:rsid w:val="0937134C"/>
    <w:rsid w:val="094216D1"/>
    <w:rsid w:val="09585E7C"/>
    <w:rsid w:val="09A32550"/>
    <w:rsid w:val="09CD7B8A"/>
    <w:rsid w:val="09D52E1D"/>
    <w:rsid w:val="09FF6A5B"/>
    <w:rsid w:val="0A211992"/>
    <w:rsid w:val="0A4F35C1"/>
    <w:rsid w:val="0A562CBC"/>
    <w:rsid w:val="0A640DAC"/>
    <w:rsid w:val="0A664412"/>
    <w:rsid w:val="0A920902"/>
    <w:rsid w:val="0A9C76A7"/>
    <w:rsid w:val="0AC027B4"/>
    <w:rsid w:val="0AFB78F9"/>
    <w:rsid w:val="0B1B064E"/>
    <w:rsid w:val="0B6F2619"/>
    <w:rsid w:val="0C725662"/>
    <w:rsid w:val="0CBB0AFA"/>
    <w:rsid w:val="0D315E36"/>
    <w:rsid w:val="0DB04F09"/>
    <w:rsid w:val="0DD24882"/>
    <w:rsid w:val="0E002507"/>
    <w:rsid w:val="0E772D33"/>
    <w:rsid w:val="0EB810AA"/>
    <w:rsid w:val="0ED426D8"/>
    <w:rsid w:val="0EDB0E4E"/>
    <w:rsid w:val="0F021306"/>
    <w:rsid w:val="0F042BC2"/>
    <w:rsid w:val="0F4C6F6C"/>
    <w:rsid w:val="0F5D7C7B"/>
    <w:rsid w:val="0FB21596"/>
    <w:rsid w:val="0FC1532E"/>
    <w:rsid w:val="0FCB1326"/>
    <w:rsid w:val="0FE90477"/>
    <w:rsid w:val="10155044"/>
    <w:rsid w:val="101D336C"/>
    <w:rsid w:val="102B7629"/>
    <w:rsid w:val="1038663B"/>
    <w:rsid w:val="104344BA"/>
    <w:rsid w:val="108E45C0"/>
    <w:rsid w:val="10D7072D"/>
    <w:rsid w:val="10F651FE"/>
    <w:rsid w:val="111B08AD"/>
    <w:rsid w:val="115709B8"/>
    <w:rsid w:val="11B11D4E"/>
    <w:rsid w:val="11CB7D3C"/>
    <w:rsid w:val="12E96050"/>
    <w:rsid w:val="13462B78"/>
    <w:rsid w:val="1357401F"/>
    <w:rsid w:val="13C03A2E"/>
    <w:rsid w:val="13C46A1B"/>
    <w:rsid w:val="13D50C28"/>
    <w:rsid w:val="144136AD"/>
    <w:rsid w:val="14540097"/>
    <w:rsid w:val="145B7AAC"/>
    <w:rsid w:val="148E0333"/>
    <w:rsid w:val="14E84D71"/>
    <w:rsid w:val="151439D2"/>
    <w:rsid w:val="15271BA3"/>
    <w:rsid w:val="15820401"/>
    <w:rsid w:val="15F15587"/>
    <w:rsid w:val="15FC2E71"/>
    <w:rsid w:val="16075A6D"/>
    <w:rsid w:val="1625236D"/>
    <w:rsid w:val="163C5DAC"/>
    <w:rsid w:val="16770B92"/>
    <w:rsid w:val="172C455D"/>
    <w:rsid w:val="177A5946"/>
    <w:rsid w:val="177A7653"/>
    <w:rsid w:val="17B35E0E"/>
    <w:rsid w:val="17CC3AC0"/>
    <w:rsid w:val="18242446"/>
    <w:rsid w:val="185E1BE6"/>
    <w:rsid w:val="18963245"/>
    <w:rsid w:val="18AB54FE"/>
    <w:rsid w:val="18AF5218"/>
    <w:rsid w:val="18CE3850"/>
    <w:rsid w:val="18EE55D3"/>
    <w:rsid w:val="194B07E3"/>
    <w:rsid w:val="19511388"/>
    <w:rsid w:val="196F7427"/>
    <w:rsid w:val="197B574B"/>
    <w:rsid w:val="1992068A"/>
    <w:rsid w:val="19B30892"/>
    <w:rsid w:val="19CA4592"/>
    <w:rsid w:val="19DA3568"/>
    <w:rsid w:val="19E0310D"/>
    <w:rsid w:val="19F134A0"/>
    <w:rsid w:val="1A25409E"/>
    <w:rsid w:val="1A2D405C"/>
    <w:rsid w:val="1A4268EB"/>
    <w:rsid w:val="1A725422"/>
    <w:rsid w:val="1A773603"/>
    <w:rsid w:val="1A8A0611"/>
    <w:rsid w:val="1AC61C6C"/>
    <w:rsid w:val="1AE34B69"/>
    <w:rsid w:val="1AFD1961"/>
    <w:rsid w:val="1B212A56"/>
    <w:rsid w:val="1B883200"/>
    <w:rsid w:val="1BB53913"/>
    <w:rsid w:val="1BBD1F95"/>
    <w:rsid w:val="1BC44288"/>
    <w:rsid w:val="1BC6412C"/>
    <w:rsid w:val="1BDE661C"/>
    <w:rsid w:val="1C0E71DD"/>
    <w:rsid w:val="1C2B3CC1"/>
    <w:rsid w:val="1C512503"/>
    <w:rsid w:val="1CA56461"/>
    <w:rsid w:val="1CA85E8E"/>
    <w:rsid w:val="1CAA35A0"/>
    <w:rsid w:val="1CCC4C67"/>
    <w:rsid w:val="1CD47F5D"/>
    <w:rsid w:val="1D2E6E81"/>
    <w:rsid w:val="1D3D5090"/>
    <w:rsid w:val="1D504A6F"/>
    <w:rsid w:val="1D641CE6"/>
    <w:rsid w:val="1D6848BB"/>
    <w:rsid w:val="1DA032FD"/>
    <w:rsid w:val="1DE63D5D"/>
    <w:rsid w:val="1E001ED4"/>
    <w:rsid w:val="1E193D09"/>
    <w:rsid w:val="1E1F3367"/>
    <w:rsid w:val="1E397CCE"/>
    <w:rsid w:val="1E4C1AE7"/>
    <w:rsid w:val="1E6873E0"/>
    <w:rsid w:val="1E75798F"/>
    <w:rsid w:val="1E7D6144"/>
    <w:rsid w:val="1EE05995"/>
    <w:rsid w:val="1F0A0993"/>
    <w:rsid w:val="1F6D571A"/>
    <w:rsid w:val="1F7A079C"/>
    <w:rsid w:val="1FAB2230"/>
    <w:rsid w:val="1FB0626B"/>
    <w:rsid w:val="1FCD50C6"/>
    <w:rsid w:val="20016916"/>
    <w:rsid w:val="204F50A8"/>
    <w:rsid w:val="205519FE"/>
    <w:rsid w:val="207714A8"/>
    <w:rsid w:val="20BC336A"/>
    <w:rsid w:val="20C05DFE"/>
    <w:rsid w:val="21207871"/>
    <w:rsid w:val="21423112"/>
    <w:rsid w:val="21780CEC"/>
    <w:rsid w:val="21C320DF"/>
    <w:rsid w:val="21C91A85"/>
    <w:rsid w:val="21CF5B88"/>
    <w:rsid w:val="21D37AE9"/>
    <w:rsid w:val="21DD32C1"/>
    <w:rsid w:val="21DE15EF"/>
    <w:rsid w:val="21EA6E66"/>
    <w:rsid w:val="21EF2963"/>
    <w:rsid w:val="2214777E"/>
    <w:rsid w:val="221B1A48"/>
    <w:rsid w:val="22A054DD"/>
    <w:rsid w:val="22B053ED"/>
    <w:rsid w:val="22C6798B"/>
    <w:rsid w:val="22CB6212"/>
    <w:rsid w:val="22CF2CE6"/>
    <w:rsid w:val="22DC19AD"/>
    <w:rsid w:val="22E617AB"/>
    <w:rsid w:val="22EF05EE"/>
    <w:rsid w:val="23121320"/>
    <w:rsid w:val="23D40584"/>
    <w:rsid w:val="23DA4F0A"/>
    <w:rsid w:val="23DB104A"/>
    <w:rsid w:val="23E629DD"/>
    <w:rsid w:val="244B787A"/>
    <w:rsid w:val="24652E4D"/>
    <w:rsid w:val="247C0975"/>
    <w:rsid w:val="251B731A"/>
    <w:rsid w:val="257626E2"/>
    <w:rsid w:val="25997931"/>
    <w:rsid w:val="25F07F7D"/>
    <w:rsid w:val="26233A75"/>
    <w:rsid w:val="268B25CD"/>
    <w:rsid w:val="26B26374"/>
    <w:rsid w:val="26B74A9C"/>
    <w:rsid w:val="26EF1BA9"/>
    <w:rsid w:val="2700773A"/>
    <w:rsid w:val="27233287"/>
    <w:rsid w:val="27315FC2"/>
    <w:rsid w:val="27AE7E51"/>
    <w:rsid w:val="27BA6EF1"/>
    <w:rsid w:val="27D50FF3"/>
    <w:rsid w:val="28076BC0"/>
    <w:rsid w:val="28886A9D"/>
    <w:rsid w:val="28B07116"/>
    <w:rsid w:val="28CA3F98"/>
    <w:rsid w:val="29196D87"/>
    <w:rsid w:val="29214517"/>
    <w:rsid w:val="29330184"/>
    <w:rsid w:val="29332307"/>
    <w:rsid w:val="29585CB3"/>
    <w:rsid w:val="29592D76"/>
    <w:rsid w:val="297B7FE9"/>
    <w:rsid w:val="298962E5"/>
    <w:rsid w:val="29B03871"/>
    <w:rsid w:val="29C06788"/>
    <w:rsid w:val="2A77521E"/>
    <w:rsid w:val="2A960606"/>
    <w:rsid w:val="2AF10ABC"/>
    <w:rsid w:val="2B0B166C"/>
    <w:rsid w:val="2B0C0F7B"/>
    <w:rsid w:val="2B3E16BF"/>
    <w:rsid w:val="2BB94533"/>
    <w:rsid w:val="2C2662B9"/>
    <w:rsid w:val="2C3C47F7"/>
    <w:rsid w:val="2C440C42"/>
    <w:rsid w:val="2C895E77"/>
    <w:rsid w:val="2CEF46B1"/>
    <w:rsid w:val="2D3C231C"/>
    <w:rsid w:val="2D572256"/>
    <w:rsid w:val="2D7E05F7"/>
    <w:rsid w:val="2D934AE7"/>
    <w:rsid w:val="2DCE4F0C"/>
    <w:rsid w:val="2DDC3FC1"/>
    <w:rsid w:val="2E132846"/>
    <w:rsid w:val="2E182FB4"/>
    <w:rsid w:val="2E3F0623"/>
    <w:rsid w:val="2E851886"/>
    <w:rsid w:val="2F4E0DAB"/>
    <w:rsid w:val="2F852CB6"/>
    <w:rsid w:val="2FAA5AD9"/>
    <w:rsid w:val="2FCE154D"/>
    <w:rsid w:val="2FF039F1"/>
    <w:rsid w:val="300D61A9"/>
    <w:rsid w:val="300D7523"/>
    <w:rsid w:val="30424CC0"/>
    <w:rsid w:val="311968B2"/>
    <w:rsid w:val="311E18DD"/>
    <w:rsid w:val="315907AD"/>
    <w:rsid w:val="31FC2745"/>
    <w:rsid w:val="320B412F"/>
    <w:rsid w:val="3271734E"/>
    <w:rsid w:val="327563B3"/>
    <w:rsid w:val="32965029"/>
    <w:rsid w:val="32A634AF"/>
    <w:rsid w:val="32B921AD"/>
    <w:rsid w:val="32C4038E"/>
    <w:rsid w:val="32CD2E76"/>
    <w:rsid w:val="330E2506"/>
    <w:rsid w:val="331A5AF6"/>
    <w:rsid w:val="33A0531B"/>
    <w:rsid w:val="346C234F"/>
    <w:rsid w:val="34930017"/>
    <w:rsid w:val="34B57BF3"/>
    <w:rsid w:val="34F8315A"/>
    <w:rsid w:val="3539149F"/>
    <w:rsid w:val="354032C5"/>
    <w:rsid w:val="358B61B2"/>
    <w:rsid w:val="35970FD9"/>
    <w:rsid w:val="35A61FCC"/>
    <w:rsid w:val="35B35EF5"/>
    <w:rsid w:val="35D928EB"/>
    <w:rsid w:val="36637EBD"/>
    <w:rsid w:val="36660B35"/>
    <w:rsid w:val="36C57546"/>
    <w:rsid w:val="36D3669F"/>
    <w:rsid w:val="3720230B"/>
    <w:rsid w:val="376244E0"/>
    <w:rsid w:val="376C0295"/>
    <w:rsid w:val="377473AF"/>
    <w:rsid w:val="377D670A"/>
    <w:rsid w:val="37A42CEF"/>
    <w:rsid w:val="37A51FCB"/>
    <w:rsid w:val="37AD13F0"/>
    <w:rsid w:val="37DD6436"/>
    <w:rsid w:val="3819180F"/>
    <w:rsid w:val="383876FC"/>
    <w:rsid w:val="38464F82"/>
    <w:rsid w:val="385376B2"/>
    <w:rsid w:val="38A67777"/>
    <w:rsid w:val="38B505BF"/>
    <w:rsid w:val="38BA021A"/>
    <w:rsid w:val="395D64FD"/>
    <w:rsid w:val="39C842CD"/>
    <w:rsid w:val="39D56FB2"/>
    <w:rsid w:val="3A211B28"/>
    <w:rsid w:val="3A400E87"/>
    <w:rsid w:val="3AB33586"/>
    <w:rsid w:val="3AC76C6D"/>
    <w:rsid w:val="3ACB4EAA"/>
    <w:rsid w:val="3AEB1C36"/>
    <w:rsid w:val="3B3945E2"/>
    <w:rsid w:val="3B3E31A9"/>
    <w:rsid w:val="3BA565C9"/>
    <w:rsid w:val="3C214DB9"/>
    <w:rsid w:val="3C286BF8"/>
    <w:rsid w:val="3C9E2B6C"/>
    <w:rsid w:val="3CB13235"/>
    <w:rsid w:val="3CCC5833"/>
    <w:rsid w:val="3CEE30A2"/>
    <w:rsid w:val="3D0A54E4"/>
    <w:rsid w:val="3D12385B"/>
    <w:rsid w:val="3D3C61CF"/>
    <w:rsid w:val="3DA75234"/>
    <w:rsid w:val="3DCE4E55"/>
    <w:rsid w:val="3DF03891"/>
    <w:rsid w:val="3E235034"/>
    <w:rsid w:val="3E2C5CAE"/>
    <w:rsid w:val="3E920BF6"/>
    <w:rsid w:val="3EB5793B"/>
    <w:rsid w:val="3ED424C0"/>
    <w:rsid w:val="3EE549D1"/>
    <w:rsid w:val="3EF24507"/>
    <w:rsid w:val="3EF26819"/>
    <w:rsid w:val="3F032219"/>
    <w:rsid w:val="3F6D7022"/>
    <w:rsid w:val="40181D19"/>
    <w:rsid w:val="40424744"/>
    <w:rsid w:val="405B1755"/>
    <w:rsid w:val="406A3A67"/>
    <w:rsid w:val="407C0499"/>
    <w:rsid w:val="407C54BA"/>
    <w:rsid w:val="40823610"/>
    <w:rsid w:val="40923879"/>
    <w:rsid w:val="40B0739C"/>
    <w:rsid w:val="40E66D48"/>
    <w:rsid w:val="40E70223"/>
    <w:rsid w:val="411B38EE"/>
    <w:rsid w:val="41234A35"/>
    <w:rsid w:val="41252C1F"/>
    <w:rsid w:val="414832E5"/>
    <w:rsid w:val="41560C26"/>
    <w:rsid w:val="416B6DBE"/>
    <w:rsid w:val="41E9306C"/>
    <w:rsid w:val="421E0B50"/>
    <w:rsid w:val="42A00BEF"/>
    <w:rsid w:val="42C01097"/>
    <w:rsid w:val="42CC0BAF"/>
    <w:rsid w:val="42E26C70"/>
    <w:rsid w:val="42FE0D52"/>
    <w:rsid w:val="432F3AC7"/>
    <w:rsid w:val="43314C51"/>
    <w:rsid w:val="43393571"/>
    <w:rsid w:val="4349799B"/>
    <w:rsid w:val="435D5911"/>
    <w:rsid w:val="43610ED9"/>
    <w:rsid w:val="43837429"/>
    <w:rsid w:val="43865894"/>
    <w:rsid w:val="438C0F14"/>
    <w:rsid w:val="43A94328"/>
    <w:rsid w:val="43AA0EDA"/>
    <w:rsid w:val="43F71F01"/>
    <w:rsid w:val="43FA3A9A"/>
    <w:rsid w:val="440700DA"/>
    <w:rsid w:val="44151381"/>
    <w:rsid w:val="447366E5"/>
    <w:rsid w:val="449D1269"/>
    <w:rsid w:val="44AF7F36"/>
    <w:rsid w:val="44BB3AE9"/>
    <w:rsid w:val="44F25238"/>
    <w:rsid w:val="45173EBC"/>
    <w:rsid w:val="455652C2"/>
    <w:rsid w:val="45611A6C"/>
    <w:rsid w:val="45E35183"/>
    <w:rsid w:val="45E66B02"/>
    <w:rsid w:val="461D3B72"/>
    <w:rsid w:val="46256F3D"/>
    <w:rsid w:val="4687042A"/>
    <w:rsid w:val="46BA7686"/>
    <w:rsid w:val="46C15208"/>
    <w:rsid w:val="46C329DE"/>
    <w:rsid w:val="46D21DA6"/>
    <w:rsid w:val="46D43642"/>
    <w:rsid w:val="47024B89"/>
    <w:rsid w:val="47186D2D"/>
    <w:rsid w:val="475C0019"/>
    <w:rsid w:val="475F6FFF"/>
    <w:rsid w:val="476D72E1"/>
    <w:rsid w:val="47B42327"/>
    <w:rsid w:val="47F030E2"/>
    <w:rsid w:val="481132D5"/>
    <w:rsid w:val="48CC7477"/>
    <w:rsid w:val="490034B4"/>
    <w:rsid w:val="49250AC3"/>
    <w:rsid w:val="493C15D1"/>
    <w:rsid w:val="494A314E"/>
    <w:rsid w:val="495915E3"/>
    <w:rsid w:val="49B43E29"/>
    <w:rsid w:val="49F23BE3"/>
    <w:rsid w:val="49FB47C4"/>
    <w:rsid w:val="4A4D002A"/>
    <w:rsid w:val="4A5634BA"/>
    <w:rsid w:val="4AF4189F"/>
    <w:rsid w:val="4B095673"/>
    <w:rsid w:val="4B3A4E12"/>
    <w:rsid w:val="4B673FD2"/>
    <w:rsid w:val="4BC35FB7"/>
    <w:rsid w:val="4BD85032"/>
    <w:rsid w:val="4C011FB4"/>
    <w:rsid w:val="4C253D67"/>
    <w:rsid w:val="4C3214F1"/>
    <w:rsid w:val="4C5778CF"/>
    <w:rsid w:val="4CC457D0"/>
    <w:rsid w:val="4CC615FD"/>
    <w:rsid w:val="4D094D75"/>
    <w:rsid w:val="4D4938D7"/>
    <w:rsid w:val="4D8B67F6"/>
    <w:rsid w:val="4DC311DF"/>
    <w:rsid w:val="4DCA3CE8"/>
    <w:rsid w:val="4E033EBC"/>
    <w:rsid w:val="4E073C59"/>
    <w:rsid w:val="4E1150AB"/>
    <w:rsid w:val="4E844489"/>
    <w:rsid w:val="4E981050"/>
    <w:rsid w:val="4EBF2383"/>
    <w:rsid w:val="4F753207"/>
    <w:rsid w:val="4FFA401D"/>
    <w:rsid w:val="501E3772"/>
    <w:rsid w:val="50247144"/>
    <w:rsid w:val="502A2248"/>
    <w:rsid w:val="5090127E"/>
    <w:rsid w:val="509F1092"/>
    <w:rsid w:val="50D26870"/>
    <w:rsid w:val="50F87DA8"/>
    <w:rsid w:val="51061FA6"/>
    <w:rsid w:val="51580952"/>
    <w:rsid w:val="51F577C4"/>
    <w:rsid w:val="51FE2935"/>
    <w:rsid w:val="5207218C"/>
    <w:rsid w:val="522B2C66"/>
    <w:rsid w:val="523722E7"/>
    <w:rsid w:val="5308203E"/>
    <w:rsid w:val="534742A2"/>
    <w:rsid w:val="536729D5"/>
    <w:rsid w:val="53A73B70"/>
    <w:rsid w:val="53F51FF0"/>
    <w:rsid w:val="54314539"/>
    <w:rsid w:val="545216AE"/>
    <w:rsid w:val="54752E3E"/>
    <w:rsid w:val="54C77CA4"/>
    <w:rsid w:val="54E1485D"/>
    <w:rsid w:val="54F0443B"/>
    <w:rsid w:val="55105676"/>
    <w:rsid w:val="552A5DC5"/>
    <w:rsid w:val="554F180F"/>
    <w:rsid w:val="56260E7E"/>
    <w:rsid w:val="562E1BED"/>
    <w:rsid w:val="566864B5"/>
    <w:rsid w:val="56F249AC"/>
    <w:rsid w:val="57281034"/>
    <w:rsid w:val="575936FC"/>
    <w:rsid w:val="57842062"/>
    <w:rsid w:val="57C42F3C"/>
    <w:rsid w:val="57DC5854"/>
    <w:rsid w:val="580D0F91"/>
    <w:rsid w:val="58281E20"/>
    <w:rsid w:val="58527F9B"/>
    <w:rsid w:val="58593DA3"/>
    <w:rsid w:val="58902D3C"/>
    <w:rsid w:val="589726FF"/>
    <w:rsid w:val="58E01645"/>
    <w:rsid w:val="590160ED"/>
    <w:rsid w:val="5978475D"/>
    <w:rsid w:val="599C096B"/>
    <w:rsid w:val="59AD2AEE"/>
    <w:rsid w:val="59AD507E"/>
    <w:rsid w:val="59B2794E"/>
    <w:rsid w:val="59E6075A"/>
    <w:rsid w:val="5A683267"/>
    <w:rsid w:val="5AD057D8"/>
    <w:rsid w:val="5AEB0435"/>
    <w:rsid w:val="5B12588A"/>
    <w:rsid w:val="5BB20DBA"/>
    <w:rsid w:val="5BC51B9B"/>
    <w:rsid w:val="5BD11200"/>
    <w:rsid w:val="5BD75588"/>
    <w:rsid w:val="5BE2711B"/>
    <w:rsid w:val="5C1B195E"/>
    <w:rsid w:val="5C1D29E3"/>
    <w:rsid w:val="5C416C19"/>
    <w:rsid w:val="5C4C4231"/>
    <w:rsid w:val="5C760D5D"/>
    <w:rsid w:val="5CAE582B"/>
    <w:rsid w:val="5CF07506"/>
    <w:rsid w:val="5CFE7C80"/>
    <w:rsid w:val="5E092631"/>
    <w:rsid w:val="5E54291C"/>
    <w:rsid w:val="5E6F680E"/>
    <w:rsid w:val="5EB4384C"/>
    <w:rsid w:val="5EC53236"/>
    <w:rsid w:val="5EE82429"/>
    <w:rsid w:val="5EF72C6B"/>
    <w:rsid w:val="5F1C2C02"/>
    <w:rsid w:val="5F28433E"/>
    <w:rsid w:val="5F2C01BD"/>
    <w:rsid w:val="5F434264"/>
    <w:rsid w:val="5F8529C6"/>
    <w:rsid w:val="5F98501F"/>
    <w:rsid w:val="5FB77E6B"/>
    <w:rsid w:val="5FBA14AF"/>
    <w:rsid w:val="5FF64C62"/>
    <w:rsid w:val="603040BD"/>
    <w:rsid w:val="60344C7B"/>
    <w:rsid w:val="60544CB9"/>
    <w:rsid w:val="606B08D9"/>
    <w:rsid w:val="60AE780D"/>
    <w:rsid w:val="61333583"/>
    <w:rsid w:val="61A55B6E"/>
    <w:rsid w:val="61CC5A65"/>
    <w:rsid w:val="61CF1286"/>
    <w:rsid w:val="61F63C4B"/>
    <w:rsid w:val="620A5184"/>
    <w:rsid w:val="621A74E5"/>
    <w:rsid w:val="622E4F3F"/>
    <w:rsid w:val="6279080D"/>
    <w:rsid w:val="6283706E"/>
    <w:rsid w:val="631D363E"/>
    <w:rsid w:val="63207313"/>
    <w:rsid w:val="635A2D1A"/>
    <w:rsid w:val="636E5628"/>
    <w:rsid w:val="639F41EB"/>
    <w:rsid w:val="641F4B74"/>
    <w:rsid w:val="648A6C22"/>
    <w:rsid w:val="64A73D00"/>
    <w:rsid w:val="65062218"/>
    <w:rsid w:val="651950AB"/>
    <w:rsid w:val="653A07B7"/>
    <w:rsid w:val="655737BB"/>
    <w:rsid w:val="655B67A0"/>
    <w:rsid w:val="659E36CB"/>
    <w:rsid w:val="66065FEC"/>
    <w:rsid w:val="664465A5"/>
    <w:rsid w:val="668E56BC"/>
    <w:rsid w:val="67180FA6"/>
    <w:rsid w:val="67427A3E"/>
    <w:rsid w:val="679E23D2"/>
    <w:rsid w:val="67CBCE6D"/>
    <w:rsid w:val="68084924"/>
    <w:rsid w:val="6841395C"/>
    <w:rsid w:val="689627D5"/>
    <w:rsid w:val="68C95513"/>
    <w:rsid w:val="68EF1B5A"/>
    <w:rsid w:val="68F06C38"/>
    <w:rsid w:val="692D1AE1"/>
    <w:rsid w:val="69460D57"/>
    <w:rsid w:val="69652E0C"/>
    <w:rsid w:val="69A118B1"/>
    <w:rsid w:val="69BB5C7C"/>
    <w:rsid w:val="69E1587D"/>
    <w:rsid w:val="69EE459B"/>
    <w:rsid w:val="6A0D3435"/>
    <w:rsid w:val="6A523336"/>
    <w:rsid w:val="6A5F216E"/>
    <w:rsid w:val="6A771191"/>
    <w:rsid w:val="6A9B7231"/>
    <w:rsid w:val="6AD3146B"/>
    <w:rsid w:val="6B3A64D2"/>
    <w:rsid w:val="6B480E0D"/>
    <w:rsid w:val="6B52106A"/>
    <w:rsid w:val="6BD014A7"/>
    <w:rsid w:val="6BD91E7B"/>
    <w:rsid w:val="6C042E79"/>
    <w:rsid w:val="6C4E080C"/>
    <w:rsid w:val="6C7D68DC"/>
    <w:rsid w:val="6CAF0EC7"/>
    <w:rsid w:val="6CB27B7A"/>
    <w:rsid w:val="6D387105"/>
    <w:rsid w:val="6D415358"/>
    <w:rsid w:val="6D425CFD"/>
    <w:rsid w:val="6D5863A6"/>
    <w:rsid w:val="6D5B583A"/>
    <w:rsid w:val="6D850165"/>
    <w:rsid w:val="6DA12016"/>
    <w:rsid w:val="6DFC7123"/>
    <w:rsid w:val="6E300925"/>
    <w:rsid w:val="6E6B10E2"/>
    <w:rsid w:val="6E7643C5"/>
    <w:rsid w:val="6E9F563F"/>
    <w:rsid w:val="6EB56801"/>
    <w:rsid w:val="6ECF5745"/>
    <w:rsid w:val="6F2A6E9B"/>
    <w:rsid w:val="6F65392A"/>
    <w:rsid w:val="6F657251"/>
    <w:rsid w:val="6F930E05"/>
    <w:rsid w:val="6F962BC7"/>
    <w:rsid w:val="6F971964"/>
    <w:rsid w:val="6FC40FE0"/>
    <w:rsid w:val="6FC771F3"/>
    <w:rsid w:val="702C48A1"/>
    <w:rsid w:val="703E6382"/>
    <w:rsid w:val="70E34B2E"/>
    <w:rsid w:val="70E7136B"/>
    <w:rsid w:val="712A2343"/>
    <w:rsid w:val="714056A1"/>
    <w:rsid w:val="717A7AAE"/>
    <w:rsid w:val="71934A3D"/>
    <w:rsid w:val="71B65F0C"/>
    <w:rsid w:val="722C37FD"/>
    <w:rsid w:val="725A6005"/>
    <w:rsid w:val="72763367"/>
    <w:rsid w:val="73136438"/>
    <w:rsid w:val="73360277"/>
    <w:rsid w:val="733B5276"/>
    <w:rsid w:val="738A19C7"/>
    <w:rsid w:val="738C1984"/>
    <w:rsid w:val="73F956C1"/>
    <w:rsid w:val="7417125D"/>
    <w:rsid w:val="74180435"/>
    <w:rsid w:val="74321579"/>
    <w:rsid w:val="743C0E2B"/>
    <w:rsid w:val="74665B7D"/>
    <w:rsid w:val="7481636F"/>
    <w:rsid w:val="74A519C0"/>
    <w:rsid w:val="74B16DA1"/>
    <w:rsid w:val="74E15348"/>
    <w:rsid w:val="74F00593"/>
    <w:rsid w:val="752E1B6A"/>
    <w:rsid w:val="75435F27"/>
    <w:rsid w:val="7599180F"/>
    <w:rsid w:val="75C426E1"/>
    <w:rsid w:val="75CC66A8"/>
    <w:rsid w:val="75EF2CA2"/>
    <w:rsid w:val="75F52144"/>
    <w:rsid w:val="761D1F25"/>
    <w:rsid w:val="765C4E27"/>
    <w:rsid w:val="765F08AA"/>
    <w:rsid w:val="768844FD"/>
    <w:rsid w:val="76941EAC"/>
    <w:rsid w:val="76971C2A"/>
    <w:rsid w:val="76AA6C3C"/>
    <w:rsid w:val="76CB2972"/>
    <w:rsid w:val="77D901DF"/>
    <w:rsid w:val="7808174F"/>
    <w:rsid w:val="781858F3"/>
    <w:rsid w:val="78800B64"/>
    <w:rsid w:val="788413D0"/>
    <w:rsid w:val="78EE71BC"/>
    <w:rsid w:val="79624073"/>
    <w:rsid w:val="79635569"/>
    <w:rsid w:val="79737F17"/>
    <w:rsid w:val="79851FAD"/>
    <w:rsid w:val="79B3683E"/>
    <w:rsid w:val="7A6D5CF5"/>
    <w:rsid w:val="7A811C8D"/>
    <w:rsid w:val="7A8D5AF2"/>
    <w:rsid w:val="7AD720B3"/>
    <w:rsid w:val="7AF96814"/>
    <w:rsid w:val="7B2B4678"/>
    <w:rsid w:val="7B567CED"/>
    <w:rsid w:val="7B9A137C"/>
    <w:rsid w:val="7C286408"/>
    <w:rsid w:val="7C2D250B"/>
    <w:rsid w:val="7C6A65E7"/>
    <w:rsid w:val="7C6C4FCB"/>
    <w:rsid w:val="7C7A5350"/>
    <w:rsid w:val="7CD074D2"/>
    <w:rsid w:val="7D1A6177"/>
    <w:rsid w:val="7DA63EE4"/>
    <w:rsid w:val="7DC3749B"/>
    <w:rsid w:val="7DC91981"/>
    <w:rsid w:val="7DE73C26"/>
    <w:rsid w:val="7DF83751"/>
    <w:rsid w:val="7E636123"/>
    <w:rsid w:val="7E824719"/>
    <w:rsid w:val="7EBC1948"/>
    <w:rsid w:val="7ED71FB7"/>
    <w:rsid w:val="7F1F6D83"/>
    <w:rsid w:val="7F486B03"/>
    <w:rsid w:val="7F71566D"/>
    <w:rsid w:val="7F717642"/>
    <w:rsid w:val="7F87574A"/>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Lines/>
      <w:widowControl/>
      <w:spacing w:before="340" w:after="330" w:line="578" w:lineRule="auto"/>
      <w:jc w:val="center"/>
      <w:outlineLvl w:val="0"/>
    </w:pPr>
    <w:rPr>
      <w:rFonts w:eastAsia="黑体"/>
      <w:kern w:val="44"/>
      <w:sz w:val="32"/>
      <w:szCs w:val="44"/>
    </w:rPr>
  </w:style>
  <w:style w:type="paragraph" w:styleId="4">
    <w:name w:val="heading 2"/>
    <w:basedOn w:val="1"/>
    <w:next w:val="5"/>
    <w:autoRedefine/>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6">
    <w:name w:val="heading 3"/>
    <w:basedOn w:val="1"/>
    <w:next w:val="1"/>
    <w:autoRedefine/>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7">
    <w:name w:val="heading 5"/>
    <w:basedOn w:val="1"/>
    <w:next w:val="1"/>
    <w:autoRedefine/>
    <w:qFormat/>
    <w:uiPriority w:val="0"/>
    <w:pPr>
      <w:widowControl/>
      <w:numPr>
        <w:ilvl w:val="4"/>
        <w:numId w:val="1"/>
      </w:numPr>
      <w:spacing w:before="240" w:after="60"/>
      <w:jc w:val="left"/>
      <w:outlineLvl w:val="4"/>
    </w:pPr>
    <w:rPr>
      <w:rFonts w:ascii="Arial" w:hAnsi="Arial"/>
      <w:b/>
      <w:i/>
      <w:kern w:val="0"/>
      <w:sz w:val="26"/>
    </w:rPr>
  </w:style>
  <w:style w:type="paragraph" w:styleId="8">
    <w:name w:val="heading 6"/>
    <w:basedOn w:val="1"/>
    <w:next w:val="1"/>
    <w:autoRedefine/>
    <w:qFormat/>
    <w:uiPriority w:val="0"/>
    <w:pPr>
      <w:widowControl/>
      <w:numPr>
        <w:ilvl w:val="5"/>
        <w:numId w:val="1"/>
      </w:numPr>
      <w:spacing w:before="240" w:after="60"/>
      <w:jc w:val="left"/>
      <w:outlineLvl w:val="5"/>
    </w:pPr>
    <w:rPr>
      <w:rFonts w:ascii="Arial" w:hAnsi="Arial"/>
      <w:b/>
      <w:kern w:val="0"/>
      <w:sz w:val="24"/>
    </w:rPr>
  </w:style>
  <w:style w:type="paragraph" w:styleId="9">
    <w:name w:val="heading 7"/>
    <w:basedOn w:val="1"/>
    <w:next w:val="1"/>
    <w:autoRedefine/>
    <w:qFormat/>
    <w:uiPriority w:val="0"/>
    <w:pPr>
      <w:keepNext/>
      <w:keepLines/>
      <w:widowControl/>
      <w:spacing w:before="240" w:after="64" w:line="320" w:lineRule="auto"/>
      <w:jc w:val="left"/>
      <w:outlineLvl w:val="6"/>
    </w:pPr>
    <w:rPr>
      <w:b/>
      <w:bCs/>
      <w:kern w:val="0"/>
      <w:sz w:val="24"/>
      <w:szCs w:val="24"/>
    </w:rPr>
  </w:style>
  <w:style w:type="paragraph" w:styleId="10">
    <w:name w:val="heading 8"/>
    <w:basedOn w:val="1"/>
    <w:next w:val="1"/>
    <w:autoRedefine/>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1">
    <w:name w:val="heading 9"/>
    <w:basedOn w:val="1"/>
    <w:next w:val="1"/>
    <w:autoRedefine/>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宋体" w:hAnsi="宋体"/>
      <w:sz w:val="24"/>
      <w:szCs w:val="24"/>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12">
    <w:name w:val="Normal Indent"/>
    <w:basedOn w:val="1"/>
    <w:autoRedefine/>
    <w:qFormat/>
    <w:uiPriority w:val="0"/>
    <w:pPr>
      <w:spacing w:line="360" w:lineRule="auto"/>
      <w:ind w:firstLine="420"/>
    </w:pPr>
    <w:rPr>
      <w:sz w:val="24"/>
      <w:szCs w:val="24"/>
    </w:rPr>
  </w:style>
  <w:style w:type="paragraph" w:styleId="13">
    <w:name w:val="annotation text"/>
    <w:basedOn w:val="1"/>
    <w:autoRedefine/>
    <w:qFormat/>
    <w:uiPriority w:val="0"/>
    <w:pPr>
      <w:adjustRightInd w:val="0"/>
      <w:spacing w:line="360" w:lineRule="atLeast"/>
      <w:jc w:val="left"/>
      <w:textAlignment w:val="baseline"/>
    </w:pPr>
    <w:rPr>
      <w:kern w:val="0"/>
      <w:sz w:val="24"/>
    </w:rPr>
  </w:style>
  <w:style w:type="paragraph" w:styleId="14">
    <w:name w:val="Body Text Indent"/>
    <w:basedOn w:val="1"/>
    <w:autoRedefine/>
    <w:qFormat/>
    <w:uiPriority w:val="0"/>
    <w:pPr>
      <w:ind w:firstLine="560" w:firstLineChars="200"/>
    </w:pPr>
    <w:rPr>
      <w:rFonts w:ascii="宋体" w:hAnsi="宋体"/>
      <w:sz w:val="28"/>
      <w:szCs w:val="24"/>
    </w:rPr>
  </w:style>
  <w:style w:type="paragraph" w:styleId="15">
    <w:name w:val="Plain Text"/>
    <w:basedOn w:val="1"/>
    <w:link w:val="91"/>
    <w:autoRedefine/>
    <w:qFormat/>
    <w:uiPriority w:val="0"/>
    <w:rPr>
      <w:rFonts w:ascii="宋体" w:hAnsi="Courier New"/>
      <w:szCs w:val="24"/>
    </w:rPr>
  </w:style>
  <w:style w:type="paragraph" w:styleId="16">
    <w:name w:val="Date"/>
    <w:basedOn w:val="1"/>
    <w:next w:val="1"/>
    <w:autoRedefine/>
    <w:qFormat/>
    <w:uiPriority w:val="0"/>
    <w:pPr>
      <w:ind w:left="100" w:leftChars="2500"/>
    </w:pPr>
    <w:rPr>
      <w:rFonts w:ascii="宋体" w:hAnsi="宋体"/>
      <w:sz w:val="28"/>
      <w:szCs w:val="24"/>
    </w:rPr>
  </w:style>
  <w:style w:type="paragraph" w:styleId="17">
    <w:name w:val="Body Text Indent 2"/>
    <w:basedOn w:val="1"/>
    <w:autoRedefine/>
    <w:qFormat/>
    <w:uiPriority w:val="0"/>
    <w:pPr>
      <w:ind w:left="360"/>
    </w:pPr>
    <w:rPr>
      <w:sz w:val="24"/>
      <w:szCs w:val="24"/>
    </w:rPr>
  </w:style>
  <w:style w:type="paragraph" w:styleId="18">
    <w:name w:val="Balloon Text"/>
    <w:basedOn w:val="1"/>
    <w:link w:val="90"/>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0"/>
    <w:pPr>
      <w:tabs>
        <w:tab w:val="right" w:leader="dot" w:pos="8505"/>
      </w:tabs>
      <w:spacing w:line="500" w:lineRule="exact"/>
    </w:pPr>
    <w:rPr>
      <w:rFonts w:ascii="宋体" w:hAnsi="宋体" w:eastAsia="仿宋_GB2312"/>
      <w:b/>
      <w:sz w:val="24"/>
      <w:szCs w:val="24"/>
    </w:rPr>
  </w:style>
  <w:style w:type="paragraph" w:styleId="22">
    <w:name w:val="index heading"/>
    <w:basedOn w:val="1"/>
    <w:next w:val="23"/>
    <w:qFormat/>
    <w:uiPriority w:val="0"/>
    <w:pPr>
      <w:adjustRightInd/>
      <w:spacing w:line="240" w:lineRule="auto"/>
      <w:textAlignment w:val="auto"/>
    </w:pPr>
    <w:rPr>
      <w:kern w:val="2"/>
      <w:szCs w:val="21"/>
    </w:rPr>
  </w:style>
  <w:style w:type="paragraph" w:styleId="23">
    <w:name w:val="index 1"/>
    <w:basedOn w:val="1"/>
    <w:next w:val="1"/>
    <w:qFormat/>
    <w:uiPriority w:val="0"/>
  </w:style>
  <w:style w:type="paragraph" w:styleId="24">
    <w:name w:val="Body Text Indent 3"/>
    <w:basedOn w:val="1"/>
    <w:autoRedefine/>
    <w:qFormat/>
    <w:uiPriority w:val="0"/>
    <w:pPr>
      <w:keepLines/>
      <w:widowControl/>
      <w:tabs>
        <w:tab w:val="left" w:pos="1004"/>
      </w:tabs>
      <w:spacing w:line="360" w:lineRule="auto"/>
      <w:ind w:left="1079" w:leftChars="514"/>
    </w:pPr>
    <w:rPr>
      <w:rFonts w:ascii="宋体" w:hAnsi="宋体"/>
      <w:bCs/>
      <w:szCs w:val="24"/>
    </w:rPr>
  </w:style>
  <w:style w:type="paragraph" w:styleId="25">
    <w:name w:val="toc 2"/>
    <w:basedOn w:val="1"/>
    <w:next w:val="1"/>
    <w:autoRedefine/>
    <w:semiHidden/>
    <w:qFormat/>
    <w:uiPriority w:val="0"/>
    <w:pPr>
      <w:ind w:left="420" w:leftChars="200"/>
    </w:pPr>
  </w:style>
  <w:style w:type="paragraph" w:styleId="26">
    <w:name w:val="Body Text 2"/>
    <w:basedOn w:val="1"/>
    <w:autoRedefine/>
    <w:qFormat/>
    <w:uiPriority w:val="0"/>
    <w:rPr>
      <w:rFonts w:ascii="宋体" w:hAnsi="宋体"/>
      <w:sz w:val="28"/>
      <w:szCs w:val="24"/>
    </w:rPr>
  </w:style>
  <w:style w:type="paragraph" w:styleId="27">
    <w:name w:val="Normal (Web)"/>
    <w:basedOn w:val="1"/>
    <w:autoRedefine/>
    <w:qFormat/>
    <w:uiPriority w:val="0"/>
    <w:pPr>
      <w:widowControl/>
      <w:spacing w:before="100" w:beforeAutospacing="1" w:after="100" w:afterAutospacing="1"/>
      <w:jc w:val="left"/>
    </w:pPr>
    <w:rPr>
      <w:rFonts w:ascii="宋体" w:hAnsi="宋体"/>
      <w:color w:val="000000"/>
      <w:kern w:val="0"/>
      <w:sz w:val="24"/>
      <w:szCs w:val="24"/>
    </w:rPr>
  </w:style>
  <w:style w:type="paragraph" w:styleId="28">
    <w:name w:val="Title"/>
    <w:basedOn w:val="1"/>
    <w:link w:val="88"/>
    <w:autoRedefine/>
    <w:qFormat/>
    <w:uiPriority w:val="0"/>
    <w:pPr>
      <w:jc w:val="center"/>
    </w:pPr>
    <w:rPr>
      <w:rFonts w:ascii="Cambria" w:hAnsi="Cambria"/>
      <w:b/>
      <w:bCs/>
      <w:sz w:val="32"/>
      <w:szCs w:val="32"/>
    </w:rPr>
  </w:style>
  <w:style w:type="paragraph" w:styleId="29">
    <w:name w:val="Body Text First Indent 2"/>
    <w:basedOn w:val="14"/>
    <w:next w:val="30"/>
    <w:autoRedefine/>
    <w:qFormat/>
    <w:uiPriority w:val="0"/>
    <w:pPr>
      <w:spacing w:after="120"/>
      <w:ind w:left="420" w:leftChars="200" w:firstLine="420"/>
    </w:pPr>
    <w:rPr>
      <w:rFonts w:ascii="仿宋_GB2312" w:hAnsi="Times New Roman" w:eastAsia="仿宋_GB2312"/>
      <w:sz w:val="32"/>
      <w:szCs w:val="32"/>
    </w:rPr>
  </w:style>
  <w:style w:type="paragraph" w:customStyle="1" w:styleId="30">
    <w:name w:val="*正文"/>
    <w:basedOn w:val="1"/>
    <w:qFormat/>
    <w:uiPriority w:val="0"/>
    <w:pPr>
      <w:spacing w:line="360" w:lineRule="auto"/>
      <w:ind w:firstLine="480"/>
    </w:pPr>
    <w:rPr>
      <w:rFonts w:hAnsi="宋体" w:cs="仿宋_GB2312"/>
      <w:color w:val="000000"/>
      <w:sz w:val="24"/>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paragraph" w:customStyle="1" w:styleId="38">
    <w:name w:val="正文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1"/>
    <w:autoRedefine/>
    <w:qFormat/>
    <w:uiPriority w:val="0"/>
    <w:rPr>
      <w:szCs w:val="24"/>
    </w:rPr>
  </w:style>
  <w:style w:type="paragraph" w:customStyle="1" w:styleId="40">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页眉 New New"/>
    <w:basedOn w:val="42"/>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2">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页眉 New New New New New"/>
    <w:basedOn w:val="4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眉 New New New New New New New"/>
    <w:basedOn w:val="46"/>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6">
    <w:name w:val="正文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页脚 New New New New New New New New New New"/>
    <w:basedOn w:val="48"/>
    <w:autoRedefine/>
    <w:qFormat/>
    <w:uiPriority w:val="0"/>
    <w:pPr>
      <w:tabs>
        <w:tab w:val="center" w:pos="4153"/>
        <w:tab w:val="right" w:pos="8306"/>
      </w:tabs>
      <w:snapToGrid w:val="0"/>
      <w:jc w:val="left"/>
    </w:pPr>
    <w:rPr>
      <w:sz w:val="18"/>
    </w:rPr>
  </w:style>
  <w:style w:type="paragraph" w:customStyle="1" w:styleId="48">
    <w:name w:val="正文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普通(网站) New"/>
    <w:basedOn w:val="50"/>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50">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New New New New New"/>
    <w:basedOn w:val="46"/>
    <w:autoRedefine/>
    <w:qFormat/>
    <w:uiPriority w:val="0"/>
    <w:pPr>
      <w:tabs>
        <w:tab w:val="center" w:pos="4153"/>
        <w:tab w:val="right" w:pos="8306"/>
      </w:tabs>
      <w:snapToGrid w:val="0"/>
      <w:jc w:val="left"/>
    </w:pPr>
    <w:rPr>
      <w:sz w:val="18"/>
    </w:rPr>
  </w:style>
  <w:style w:type="paragraph" w:customStyle="1" w:styleId="52">
    <w:name w:val="页脚 New New New"/>
    <w:basedOn w:val="53"/>
    <w:autoRedefine/>
    <w:qFormat/>
    <w:uiPriority w:val="0"/>
    <w:pPr>
      <w:tabs>
        <w:tab w:val="center" w:pos="4153"/>
        <w:tab w:val="right" w:pos="8306"/>
      </w:tabs>
      <w:snapToGrid w:val="0"/>
      <w:jc w:val="left"/>
    </w:pPr>
    <w:rPr>
      <w:sz w:val="18"/>
    </w:rPr>
  </w:style>
  <w:style w:type="paragraph" w:customStyle="1" w:styleId="53">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样式 标题 3 + (中文) 黑体 小四 非加粗 段前: 7.8 磅 段后: 0 磅 行距: 固定值 20 磅"/>
    <w:basedOn w:val="6"/>
    <w:autoRedefine/>
    <w:qFormat/>
    <w:uiPriority w:val="0"/>
    <w:pPr>
      <w:spacing w:before="0" w:after="0" w:line="400" w:lineRule="exact"/>
    </w:pPr>
    <w:rPr>
      <w:rFonts w:cs="宋体"/>
      <w:b/>
      <w:bCs/>
      <w:szCs w:val="20"/>
    </w:rPr>
  </w:style>
  <w:style w:type="paragraph" w:customStyle="1" w:styleId="56">
    <w:name w:val="_Style 8"/>
    <w:basedOn w:val="1"/>
    <w:next w:val="24"/>
    <w:autoRedefine/>
    <w:qFormat/>
    <w:uiPriority w:val="0"/>
    <w:pPr>
      <w:spacing w:line="360" w:lineRule="auto"/>
      <w:ind w:firstLine="632"/>
    </w:pPr>
    <w:rPr>
      <w:rFonts w:ascii="黑体" w:eastAsia="黑体"/>
      <w:sz w:val="28"/>
    </w:rPr>
  </w:style>
  <w:style w:type="paragraph" w:customStyle="1" w:styleId="57">
    <w:name w:val="正文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页脚 New New New New New New New New New"/>
    <w:basedOn w:val="59"/>
    <w:autoRedefine/>
    <w:qFormat/>
    <w:uiPriority w:val="0"/>
    <w:pPr>
      <w:tabs>
        <w:tab w:val="center" w:pos="4153"/>
        <w:tab w:val="right" w:pos="8306"/>
      </w:tabs>
      <w:snapToGrid w:val="0"/>
      <w:jc w:val="left"/>
    </w:pPr>
    <w:rPr>
      <w:sz w:val="18"/>
    </w:rPr>
  </w:style>
  <w:style w:type="paragraph" w:customStyle="1" w:styleId="59">
    <w:name w:val="正文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页眉 New"/>
    <w:basedOn w:val="6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普通(网站) New New"/>
    <w:basedOn w:val="40"/>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63">
    <w:name w:val="页眉 New New New New New New New New"/>
    <w:basedOn w:val="57"/>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页脚 New New New New New New New New"/>
    <w:basedOn w:val="57"/>
    <w:autoRedefine/>
    <w:qFormat/>
    <w:uiPriority w:val="0"/>
    <w:pPr>
      <w:tabs>
        <w:tab w:val="center" w:pos="4153"/>
        <w:tab w:val="right" w:pos="8306"/>
      </w:tabs>
      <w:snapToGrid w:val="0"/>
      <w:jc w:val="left"/>
    </w:pPr>
    <w:rPr>
      <w:sz w:val="18"/>
    </w:rPr>
  </w:style>
  <w:style w:type="paragraph" w:customStyle="1" w:styleId="65">
    <w:name w:val="页眉 New New New New New New New New New New"/>
    <w:basedOn w:val="48"/>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6">
    <w:name w:val="页眉 New New New New New New New New New"/>
    <w:basedOn w:val="59"/>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7">
    <w:name w:val="reader-word-layer reader-word-s1-1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正文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页脚 New New"/>
    <w:basedOn w:val="42"/>
    <w:autoRedefine/>
    <w:qFormat/>
    <w:uiPriority w:val="0"/>
    <w:pPr>
      <w:tabs>
        <w:tab w:val="center" w:pos="4153"/>
        <w:tab w:val="right" w:pos="8306"/>
      </w:tabs>
      <w:snapToGrid w:val="0"/>
      <w:jc w:val="left"/>
    </w:pPr>
    <w:rPr>
      <w:sz w:val="18"/>
    </w:rPr>
  </w:style>
  <w:style w:type="paragraph" w:customStyle="1" w:styleId="70">
    <w:name w:val="正文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Char"/>
    <w:basedOn w:val="1"/>
    <w:autoRedefine/>
    <w:qFormat/>
    <w:uiPriority w:val="0"/>
    <w:rPr>
      <w:rFonts w:ascii="宋体"/>
      <w:kern w:val="0"/>
      <w:sz w:val="24"/>
      <w:szCs w:val="24"/>
    </w:rPr>
  </w:style>
  <w:style w:type="paragraph" w:customStyle="1" w:styleId="72">
    <w:name w:val="标题 1 New"/>
    <w:basedOn w:val="60"/>
    <w:next w:val="60"/>
    <w:autoRedefine/>
    <w:qFormat/>
    <w:uiPriority w:val="0"/>
    <w:pPr>
      <w:keepNext/>
      <w:keepLines/>
      <w:spacing w:before="340" w:after="330" w:line="576" w:lineRule="auto"/>
      <w:outlineLvl w:val="0"/>
    </w:pPr>
    <w:rPr>
      <w:b/>
      <w:kern w:val="44"/>
      <w:sz w:val="44"/>
    </w:rPr>
  </w:style>
  <w:style w:type="paragraph" w:customStyle="1" w:styleId="73">
    <w:name w:val="页脚 New New New New New New"/>
    <w:basedOn w:val="74"/>
    <w:autoRedefine/>
    <w:qFormat/>
    <w:uiPriority w:val="0"/>
    <w:pPr>
      <w:tabs>
        <w:tab w:val="center" w:pos="4153"/>
        <w:tab w:val="right" w:pos="8306"/>
      </w:tabs>
      <w:snapToGrid w:val="0"/>
      <w:jc w:val="left"/>
    </w:pPr>
    <w:rPr>
      <w:sz w:val="18"/>
    </w:rPr>
  </w:style>
  <w:style w:type="paragraph" w:customStyle="1" w:styleId="74">
    <w:name w:val="正文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页脚 New New New New"/>
    <w:basedOn w:val="76"/>
    <w:autoRedefine/>
    <w:qFormat/>
    <w:uiPriority w:val="0"/>
    <w:pPr>
      <w:tabs>
        <w:tab w:val="center" w:pos="4153"/>
        <w:tab w:val="right" w:pos="8306"/>
      </w:tabs>
      <w:snapToGrid w:val="0"/>
      <w:jc w:val="left"/>
    </w:pPr>
    <w:rPr>
      <w:sz w:val="18"/>
    </w:rPr>
  </w:style>
  <w:style w:type="paragraph" w:customStyle="1" w:styleId="76">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77">
    <w:name w:val="样式1"/>
    <w:basedOn w:val="3"/>
    <w:autoRedefine/>
    <w:qFormat/>
    <w:uiPriority w:val="0"/>
    <w:pPr>
      <w:tabs>
        <w:tab w:val="left" w:pos="816"/>
      </w:tabs>
      <w:spacing w:line="0" w:lineRule="atLeast"/>
      <w:ind w:left="816" w:hanging="816"/>
    </w:pPr>
  </w:style>
  <w:style w:type="paragraph" w:customStyle="1" w:styleId="78">
    <w:name w:val="页眉 New New New New"/>
    <w:basedOn w:val="7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Char Char Char Char"/>
    <w:basedOn w:val="1"/>
    <w:autoRedefine/>
    <w:qFormat/>
    <w:uiPriority w:val="0"/>
    <w:rPr>
      <w:rFonts w:eastAsia="仿宋_GB2312"/>
      <w:sz w:val="32"/>
    </w:rPr>
  </w:style>
  <w:style w:type="paragraph" w:customStyle="1" w:styleId="80">
    <w:name w:val="标题 2 New New"/>
    <w:basedOn w:val="76"/>
    <w:next w:val="76"/>
    <w:autoRedefine/>
    <w:qFormat/>
    <w:uiPriority w:val="0"/>
    <w:pPr>
      <w:keepNext/>
      <w:keepLines/>
      <w:adjustRightInd w:val="0"/>
      <w:snapToGrid w:val="0"/>
      <w:spacing w:line="360" w:lineRule="auto"/>
      <w:outlineLvl w:val="1"/>
    </w:pPr>
    <w:rPr>
      <w:rFonts w:ascii="宋体" w:hAnsi="宋体"/>
    </w:rPr>
  </w:style>
  <w:style w:type="paragraph" w:customStyle="1" w:styleId="81">
    <w:name w:val="页脚 New New New New New"/>
    <w:basedOn w:val="44"/>
    <w:autoRedefine/>
    <w:qFormat/>
    <w:uiPriority w:val="0"/>
    <w:pPr>
      <w:tabs>
        <w:tab w:val="center" w:pos="4153"/>
        <w:tab w:val="right" w:pos="8306"/>
      </w:tabs>
      <w:snapToGrid w:val="0"/>
      <w:jc w:val="left"/>
    </w:pPr>
    <w:rPr>
      <w:sz w:val="18"/>
    </w:rPr>
  </w:style>
  <w:style w:type="paragraph" w:customStyle="1" w:styleId="82">
    <w:name w:val="reader-word-layer reader-word-s1-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页脚 New"/>
    <w:basedOn w:val="60"/>
    <w:autoRedefine/>
    <w:qFormat/>
    <w:uiPriority w:val="0"/>
    <w:pPr>
      <w:tabs>
        <w:tab w:val="center" w:pos="4153"/>
        <w:tab w:val="right" w:pos="8306"/>
      </w:tabs>
      <w:snapToGrid w:val="0"/>
      <w:jc w:val="left"/>
    </w:pPr>
    <w:rPr>
      <w:sz w:val="18"/>
    </w:rPr>
  </w:style>
  <w:style w:type="paragraph" w:customStyle="1" w:styleId="84">
    <w:name w:val="页眉 New New New"/>
    <w:basedOn w:val="53"/>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Cs w:val="20"/>
    </w:rPr>
  </w:style>
  <w:style w:type="paragraph" w:customStyle="1" w:styleId="86">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页眉 New New New New New New"/>
    <w:basedOn w:val="7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character" w:customStyle="1" w:styleId="88">
    <w:name w:val="标题 字符"/>
    <w:link w:val="28"/>
    <w:autoRedefine/>
    <w:qFormat/>
    <w:locked/>
    <w:uiPriority w:val="0"/>
    <w:rPr>
      <w:rFonts w:ascii="Cambria" w:hAnsi="Cambria"/>
      <w:b/>
      <w:bCs/>
      <w:kern w:val="2"/>
      <w:sz w:val="32"/>
      <w:szCs w:val="32"/>
      <w:lang w:bidi="ar-SA"/>
    </w:rPr>
  </w:style>
  <w:style w:type="character" w:customStyle="1" w:styleId="89">
    <w:name w:val="标题 Char"/>
    <w:autoRedefine/>
    <w:qFormat/>
    <w:uiPriority w:val="0"/>
    <w:rPr>
      <w:rFonts w:ascii="Cambria" w:hAnsi="Cambria" w:cs="Times New Roman"/>
      <w:b/>
      <w:bCs/>
      <w:kern w:val="2"/>
      <w:sz w:val="36"/>
      <w:szCs w:val="32"/>
    </w:rPr>
  </w:style>
  <w:style w:type="character" w:customStyle="1" w:styleId="90">
    <w:name w:val="批注框文本 字符"/>
    <w:link w:val="18"/>
    <w:autoRedefine/>
    <w:qFormat/>
    <w:uiPriority w:val="0"/>
    <w:rPr>
      <w:rFonts w:eastAsia="宋体"/>
      <w:kern w:val="2"/>
      <w:sz w:val="18"/>
      <w:szCs w:val="18"/>
      <w:lang w:val="en-US" w:eastAsia="zh-CN" w:bidi="ar-SA"/>
    </w:rPr>
  </w:style>
  <w:style w:type="character" w:customStyle="1" w:styleId="91">
    <w:name w:val="纯文本 字符"/>
    <w:link w:val="15"/>
    <w:autoRedefine/>
    <w:qFormat/>
    <w:uiPriority w:val="0"/>
    <w:rPr>
      <w:rFonts w:ascii="宋体" w:hAnsi="Courier New" w:eastAsia="宋体"/>
      <w:kern w:val="2"/>
      <w:sz w:val="21"/>
      <w:szCs w:val="24"/>
      <w:lang w:val="en-US" w:eastAsia="zh-CN" w:bidi="ar-SA"/>
    </w:rPr>
  </w:style>
  <w:style w:type="character" w:customStyle="1" w:styleId="92">
    <w:name w:val="标题 Char1"/>
    <w:autoRedefine/>
    <w:qFormat/>
    <w:uiPriority w:val="0"/>
    <w:rPr>
      <w:rFonts w:ascii="Cambria" w:hAnsi="Cambria" w:cs="Times New Roman"/>
      <w:b/>
      <w:bCs/>
      <w:kern w:val="2"/>
      <w:sz w:val="32"/>
      <w:szCs w:val="32"/>
    </w:rPr>
  </w:style>
  <w:style w:type="character" w:customStyle="1" w:styleId="93">
    <w:name w:val="font31"/>
    <w:basedOn w:val="33"/>
    <w:autoRedefine/>
    <w:qFormat/>
    <w:uiPriority w:val="0"/>
    <w:rPr>
      <w:rFonts w:hint="default" w:ascii="报宋" w:hAnsi="报宋" w:eastAsia="报宋" w:cs="报宋"/>
      <w:color w:val="0A0A0A"/>
      <w:sz w:val="22"/>
      <w:szCs w:val="22"/>
      <w:u w:val="none"/>
    </w:rPr>
  </w:style>
  <w:style w:type="character" w:customStyle="1" w:styleId="94">
    <w:name w:val="font21"/>
    <w:basedOn w:val="33"/>
    <w:autoRedefine/>
    <w:qFormat/>
    <w:uiPriority w:val="0"/>
    <w:rPr>
      <w:rFonts w:hint="eastAsia" w:ascii="宋体" w:hAnsi="宋体" w:eastAsia="宋体" w:cs="宋体"/>
      <w:b/>
      <w:bCs/>
      <w:color w:val="000000"/>
      <w:sz w:val="22"/>
      <w:szCs w:val="22"/>
      <w:u w:val="none"/>
    </w:rPr>
  </w:style>
  <w:style w:type="paragraph" w:customStyle="1" w:styleId="95">
    <w:name w:val="首行缩进"/>
    <w:basedOn w:val="1"/>
    <w:autoRedefine/>
    <w:qFormat/>
    <w:uiPriority w:val="0"/>
    <w:pPr>
      <w:ind w:firstLine="480" w:firstLineChars="200"/>
    </w:pPr>
    <w:rPr>
      <w:lang w:val="zh-CN"/>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9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99">
    <w:name w:val="Revision"/>
    <w:autoRedefine/>
    <w:hidden/>
    <w:unhideWhenUsed/>
    <w:qFormat/>
    <w:uiPriority w:val="99"/>
    <w:rPr>
      <w:rFonts w:ascii="Times New Roman" w:hAnsi="Times New Roman" w:eastAsia="宋体" w:cs="Times New Roman"/>
      <w:kern w:val="2"/>
      <w:sz w:val="21"/>
      <w:lang w:val="en-US" w:eastAsia="zh-CN" w:bidi="ar-SA"/>
    </w:rPr>
  </w:style>
  <w:style w:type="paragraph" w:styleId="10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6c12f39e-354e-4a3c-a4cd-8016ec1dd638</errorID>
      <errorWord>/)</errorWord>
      <group>L1_Punc</group>
      <groupName>标点问题</groupName>
      <ability>L2_Punc</ability>
      <abilityName>标点符号检查</abilityName>
      <candidateList>
        <item>)</item>
      </candidateList>
      <explain/>
      <paraID>7BBE7E48</paraID>
      <start>157</start>
      <end>159</end>
      <status>unmodified</status>
      <modifiedWord/>
      <trackRevisions>false</trackRevisions>
    </reviewItem>
    <reviewItem>
      <errorID>d136090c-5c14-492d-9298-0d9e07bb18fb</errorID>
      <errorWord>/)</errorWord>
      <group>L1_Punc</group>
      <groupName>标点问题</groupName>
      <ability>L2_Punc</ability>
      <abilityName>标点符号检查</abilityName>
      <candidateList>
        <item>)</item>
      </candidateList>
      <explain/>
      <paraID>7BBE7E48</paraID>
      <start>191</start>
      <end>193</end>
      <status>unmodified</status>
      <modifiedWord/>
      <trackRevisions>false</trackRevisions>
    </reviewItem>
    <reviewItem>
      <errorID>63772e27-a74d-43c9-a9cc-c1fcc4c4c8a8</errorID>
      <errorWord>/)</errorWord>
      <group>L1_Punc</group>
      <groupName>标点问题</groupName>
      <ability>L2_Punc</ability>
      <abilityName>标点符号检查</abilityName>
      <candidateList>
        <item>)</item>
      </candidateList>
      <explain/>
      <paraID>1273A764</paraID>
      <start>146</start>
      <end>148</end>
      <status>unmodified</status>
      <modifiedWord/>
      <trackRevisions>false</trackRevisions>
    </reviewItem>
    <reviewItem>
      <errorID>8fe5923f-e9ad-40b1-85e9-086c81813937</errorID>
      <errorWord>/)</errorWord>
      <group>L1_Punc</group>
      <groupName>标点问题</groupName>
      <ability>L2_Punc</ability>
      <abilityName>标点符号检查</abilityName>
      <candidateList>
        <item>)</item>
      </candidateList>
      <explain/>
      <paraID>1273A764</paraID>
      <start>180</start>
      <end>182</end>
      <status>unmodified</status>
      <modifiedWord/>
      <trackRevisions>false</trackRevisions>
    </reviewItem>
    <reviewItem>
      <errorID>cd1401e6-5012-4120-8c5a-9d5240f5dc52</errorID>
      <errorWord>固定端</errorWord>
      <group>L1_Word</group>
      <groupName>字词问题</groupName>
      <ability>L2_Typo</ability>
      <abilityName>字词错误</abilityName>
      <candidateList>
        <item>固定段</item>
      </candidateList>
      <explain/>
      <paraID> 68CDF34</paraID>
      <start>37</start>
      <end>40</end>
      <status>unmodified</status>
      <modifiedWord/>
      <trackRevisions>false</trackRevisions>
    </reviewItem>
    <reviewItem>
      <errorID>f3e10e25-5508-48b2-a40d-123648cb9d1e</errorID>
      <errorWord>级</errorWord>
      <group>L1_Word</group>
      <groupName>字词问题</groupName>
      <ability>L2_Typo</ability>
      <abilityName>字词错误</abilityName>
      <candidateList>
        <item>级和</item>
      </candidateList>
      <explain/>
      <paraID> B4EE045</paraID>
      <start>13</start>
      <end>14</end>
      <status>unmodified</status>
      <modifiedWord/>
      <trackRevisions>false</trackRevisions>
    </reviewItem>
    <reviewItem>
      <errorID>8049dbce-8032-4083-8d76-9d4855c5f280</errorID>
      <errorWord>依法合法</errorWord>
      <group>L1_Word</group>
      <groupName>字词问题</groupName>
      <ability>L2_Typo</ability>
      <abilityName>字词错误</abilityName>
      <candidateList>
        <item>依法合规</item>
      </candidateList>
      <explain/>
      <paraID>1A173B65</paraID>
      <start>9</start>
      <end>13</end>
      <status>unmodified</status>
      <modifiedWord/>
      <trackRevisions>false</trackRevisions>
    </reviewItem>
    <reviewItem>
      <errorID>29ed5876-590c-4671-bff3-c0b8bd021d18</errorID>
      <errorWord>并</errorWord>
      <group>L1_Word</group>
      <groupName>字词问题</groupName>
      <ability>L2_Typo</ability>
      <abilityName>字词错误</abilityName>
      <candidateList>
        <item>并加</item>
      </candidateList>
      <explain/>
      <paraID>767242A5</paraID>
      <start>40</start>
      <end>41</end>
      <status>unmodified</status>
      <modifiedWord/>
      <trackRevisions>false</trackRevisions>
    </reviewItem>
    <reviewItem>
      <errorID>be99ebe8-4fd1-4e7b-bd12-bd309eae1329</errorID>
      <errorWord>有助于对</errorWord>
      <group>L1_Word</group>
      <groupName>字词问题</groupName>
      <ability>L2_Typo</ability>
      <abilityName>字词错误</abilityName>
      <candidateList>
        <item>有助于</item>
      </candidateList>
      <explain/>
      <paraID>15EC305A</paraID>
      <start>12</start>
      <end>16</end>
      <status>unmodified</status>
      <modifiedWord/>
      <trackRevisions>false</trackRevisions>
    </reviewItem>
    <reviewItem>
      <errorID>6771a005-4ab0-41af-af86-4efddb684015</errorID>
      <errorWord>合同法</errorWord>
      <group>L1_Knowledge</group>
      <groupName>知识性问题</groupName>
      <ability>L2_Knowledge</ability>
      <abilityName>其他知识</abilityName>
      <candidateList/>
      <explain>已废止</explain>
      <paraID>3D538A96</paraID>
      <start>109</start>
      <end>112</end>
      <status>unmodified</status>
      <modifiedWord/>
      <trackRevisions>false</trackRevisions>
    </reviewItem>
    <reviewItem>
      <errorID>592926f3-69d4-4bae-a740-19a3ae7e892c</errorID>
      <errorWord>(</errorWord>
      <group>L1_Format</group>
      <groupName>格式问题</groupName>
      <ability>L2_HalfPunc</ability>
      <abilityName>全半角检查</abilityName>
      <candidateList>
        <item>（</item>
      </candidateList>
      <explain>文本全半角错误。</explain>
      <paraID>18F4185B</paraID>
      <start>27</start>
      <end>28</end>
      <status>unmodified</status>
      <modifiedWord/>
      <trackRevisions>false</trackRevisions>
    </reviewItem>
    <reviewItem>
      <errorID>ef570d6f-27fd-4fa1-a036-a50cc74edeab</errorID>
      <errorWord>)</errorWord>
      <group>L1_Format</group>
      <groupName>格式问题</groupName>
      <ability>L2_HalfPunc</ability>
      <abilityName>全半角检查</abilityName>
      <candidateList>
        <item>）</item>
      </candidateList>
      <explain>文本全半角错误。</explain>
      <paraID>18F4185B</paraID>
      <start>39</start>
      <end>40</end>
      <status>unmodified</status>
      <modifiedWord/>
      <trackRevisions>false</trackRevisions>
    </reviewItem>
    <reviewItem>
      <errorID>046f3c35-0454-4795-a58f-c65f0c5abb70</errorID>
      <errorWord>(</errorWord>
      <group>L1_Format</group>
      <groupName>格式问题</groupName>
      <ability>L2_HalfPunc</ability>
      <abilityName>全半角检查</abilityName>
      <candidateList>
        <item>（</item>
      </candidateList>
      <explain>文本全半角错误。</explain>
      <paraID>18F4185B</paraID>
      <start>55</start>
      <end>56</end>
      <status>unmodified</status>
      <modifiedWord/>
      <trackRevisions>false</trackRevisions>
    </reviewItem>
    <reviewItem>
      <errorID>616dbc28-d1dc-4ca2-ac88-bac4a2fc40bf</errorID>
      <errorWord>)</errorWord>
      <group>L1_Format</group>
      <groupName>格式问题</groupName>
      <ability>L2_HalfPunc</ability>
      <abilityName>全半角检查</abilityName>
      <candidateList>
        <item>）</item>
      </candidateList>
      <explain>文本全半角错误。</explain>
      <paraID>18F4185B</paraID>
      <start>69</start>
      <end>70</end>
      <status>unmodified</status>
      <modifiedWord/>
      <trackRevisions>false</trackRevisions>
    </reviewItem>
    <reviewItem>
      <errorID>2b845fef-4462-428b-9c09-26be7ab1f3a6</errorID>
      <errorWord>;</errorWord>
      <group>L1_Format</group>
      <groupName>格式问题</groupName>
      <ability>L2_HalfPunc</ability>
      <abilityName>全半角检查</abilityName>
      <candidateList>
        <item>；</item>
      </candidateList>
      <explain>文本全半角错误。</explain>
      <paraID>41574779</paraID>
      <start>52</start>
      <end>53</end>
      <status>modified</status>
      <modifiedWord>；</modifiedWord>
      <trackRevisions>false</trackRevisions>
    </reviewItem>
    <reviewItem>
      <errorID>59e40937-84f5-45ce-8957-dbe72c293645</errorID>
      <errorWord>车</errorWord>
      <group>L1_Word</group>
      <groupName>字词问题</groupName>
      <ability>L2_Typo</ability>
      <abilityName>字词错误</abilityName>
      <candidateList>
        <item>车辆</item>
      </candidateList>
      <explain>〈名〉各种车的总称。</explain>
      <paraID>4331C354</paraID>
      <start>36</start>
      <end>38</end>
      <status>modified</status>
      <modifiedWord>车辆</modifiedWord>
      <trackRevisions>false</trackRevisions>
    </reviewItem>
    <reviewItem>
      <errorID>ac73915c-ef81-47d6-a248-fc749072d31a</errorID>
      <errorWord>经验</errorWord>
      <group>L1_Word</group>
      <groupName>字词问题</groupName>
      <ability>L2_Typo</ability>
      <abilityName>字词错误</abilityName>
      <candidateList>
        <item>验</item>
      </candidateList>
      <explain/>
      <paraID>3010CA6D</paraID>
      <start>49</start>
      <end>51</end>
      <status>unmodified</status>
      <modifiedWord/>
      <trackRevisions>false</trackRevisions>
    </reviewItem>
    <reviewItem>
      <errorID>1c9b43f3-a869-471b-961f-19722521e4b3</errorID>
      <errorWord>,</errorWord>
      <group>L1_Format</group>
      <groupName>格式问题</groupName>
      <ability>L2_HalfPunc</ability>
      <abilityName>全半角检查</abilityName>
      <candidateList>
        <item>，</item>
      </candidateList>
      <explain>文本全半角错误。</explain>
      <paraID>1EC0DF83</paraID>
      <start>40</start>
      <end>41</end>
      <status>modified</status>
      <modifiedWord>，</modifiedWord>
      <trackRevisions>false</trackRevisions>
    </reviewItem>
    <reviewItem>
      <errorID>3339df1e-85e1-4627-84bc-2e75dc5e9ad6</errorID>
      <errorWord>并</errorWord>
      <group>L1_Word</group>
      <groupName>字词问题</groupName>
      <ability>L2_Typo</ability>
      <abilityName>字词错误</abilityName>
      <candidateList>
        <item>并加</item>
      </candidateList>
      <explain/>
      <paraID>24EA8D50</paraID>
      <start>12</start>
      <end>13</end>
      <status>unmodified</status>
      <modifiedWord/>
      <trackRevisions>false</trackRevisions>
    </reviewItem>
    <reviewItem>
      <errorID>4acc48fa-81f9-4ec2-af99-ab183aa59440</errorID>
      <errorWord>(</errorWord>
      <group>L1_Format</group>
      <groupName>格式问题</groupName>
      <ability>L2_HalfPunc</ability>
      <abilityName>全半角检查</abilityName>
      <candidateList>
        <item>（</item>
      </candidateList>
      <explain>文本全半角错误。</explain>
      <paraID> 1040271</paraID>
      <start>7</start>
      <end>8</end>
      <status>unmodified</status>
      <modifiedWord/>
      <trackRevisions>false</trackRevisions>
    </reviewItem>
    <reviewItem>
      <errorID>c71743cf-96e1-47f1-b54e-5d0a2cba3464</errorID>
      <errorWord>）</errorWord>
      <group>L1_Punc</group>
      <groupName>标点问题</groupName>
      <ability>L2_Punc</ability>
      <abilityName>标点符号检查</abilityName>
      <candidateList/>
      <explain>同一形式括号套用。</explain>
      <paraID>7A57126E</paraID>
      <start>96</start>
      <end>97</end>
      <status>unmodified</status>
      <modifiedWord/>
      <trackRevisions>false</trackRevisions>
    </reviewItem>
    <reviewItem>
      <errorID>ef2296b8-9a02-4721-be15-13e617e1b3ff</errorID>
      <errorWord>，</errorWord>
      <group>L1_Word</group>
      <groupName>字词问题</groupName>
      <ability>L2_Typo</ability>
      <abilityName>字词错误</abilityName>
      <candidateList>
        <item>，自</item>
      </candidateList>
      <explain/>
      <paraID>67372408</paraID>
      <start>9</start>
      <end>11</end>
      <status>modified</status>
      <modifiedWord>，自</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39e85-b6b7-47ad-9481-844796b914b1}">
  <ds:schemaRefs/>
</ds:datastoreItem>
</file>

<file path=docProps/app.xml><?xml version="1.0" encoding="utf-8"?>
<Properties xmlns="http://schemas.openxmlformats.org/officeDocument/2006/extended-properties" xmlns:vt="http://schemas.openxmlformats.org/officeDocument/2006/docPropsVTypes">
  <Template>Normal.dotm</Template>
  <Company>www.deepinghost.com</Company>
  <Pages>42</Pages>
  <Words>6591</Words>
  <Characters>7001</Characters>
  <Lines>85</Lines>
  <Paragraphs>24</Paragraphs>
  <TotalTime>73</TotalTime>
  <ScaleCrop>false</ScaleCrop>
  <LinksUpToDate>false</LinksUpToDate>
  <CharactersWithSpaces>7137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2020-05-12T17:16:00Z</dcterms:created>
  <dc:creator>User</dc:creator>
  <cp:lastModifiedBy>林思佳</cp:lastModifiedBy>
  <cp:lastPrinted>2025-05-13T15:36:00Z</cp:lastPrinted>
  <dcterms:modified xsi:type="dcterms:W3CDTF">2025-11-26T04:29:14Z</dcterms:modified>
  <dc:title>福建省高速公路养护工程材料采购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474F2FBF9B9C4F24A748400D8D6ACB25_13</vt:lpwstr>
  </property>
  <property fmtid="{D5CDD505-2E9C-101B-9397-08002B2CF9AE}" pid="4" name="KSOTemplateDocerSaveRecord">
    <vt:lpwstr>eyJoZGlkIjoiNTJlMzkyMjAzM2Y1ZDZiZGUzMDkzMDM5NDNmMjdkYzMiLCJ1c2VySWQiOiIyNjk5ODM0MjYifQ==</vt:lpwstr>
  </property>
</Properties>
</file>