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方正书宋_GBK" w:hAnsi="方正书宋_GBK" w:eastAsia="方正书宋_GBK" w:cs="方正书宋_GBK"/>
          <w:sz w:val="32"/>
          <w:szCs w:val="32"/>
          <w:highlight w:val="none"/>
        </w:rPr>
      </w:pPr>
    </w:p>
    <w:p>
      <w:pPr>
        <w:spacing w:line="560" w:lineRule="exact"/>
        <w:rPr>
          <w:rFonts w:ascii="仿宋_GB2312" w:eastAsia="仿宋_GB2312"/>
          <w:sz w:val="32"/>
          <w:szCs w:val="32"/>
          <w:highlight w:val="none"/>
        </w:rPr>
      </w:pPr>
    </w:p>
    <w:p>
      <w:pPr>
        <w:jc w:val="center"/>
        <w:rPr>
          <w:rFonts w:hint="eastAsia" w:ascii="仿宋_GB2312" w:hAnsi="仿宋_GB2312" w:eastAsia="仿宋_GB2312" w:cs="仿宋_GB2312"/>
          <w:b/>
          <w:bCs/>
          <w:sz w:val="44"/>
          <w:szCs w:val="44"/>
          <w:highlight w:val="none"/>
        </w:rPr>
      </w:pPr>
      <w:bookmarkStart w:id="0" w:name="_Toc6837"/>
      <w:bookmarkStart w:id="1" w:name="_Toc31059"/>
      <w:bookmarkStart w:id="2" w:name="_Toc22313"/>
      <w:bookmarkStart w:id="3" w:name="_Toc5076"/>
      <w:r>
        <w:rPr>
          <w:rFonts w:hint="eastAsia" w:ascii="仿宋_GB2312" w:hAnsi="仿宋_GB2312" w:eastAsia="仿宋_GB2312" w:cs="仿宋_GB2312"/>
          <w:b/>
          <w:bCs/>
          <w:sz w:val="44"/>
          <w:szCs w:val="44"/>
          <w:highlight w:val="none"/>
          <w:lang w:val="en-US" w:eastAsia="zh-CN"/>
        </w:rPr>
        <w:t>福路通资源循环</w:t>
      </w:r>
      <w:bookmarkStart w:id="466" w:name="_GoBack"/>
      <w:bookmarkEnd w:id="466"/>
      <w:r>
        <w:rPr>
          <w:rFonts w:hint="eastAsia" w:ascii="仿宋_GB2312" w:hAnsi="仿宋_GB2312" w:eastAsia="仿宋_GB2312" w:cs="仿宋_GB2312"/>
          <w:b/>
          <w:bCs/>
          <w:sz w:val="44"/>
          <w:szCs w:val="44"/>
          <w:highlight w:val="none"/>
          <w:lang w:val="en-US" w:eastAsia="zh-CN"/>
        </w:rPr>
        <w:t>（福建）有限公司</w:t>
      </w:r>
      <w:bookmarkEnd w:id="0"/>
      <w:bookmarkEnd w:id="1"/>
      <w:bookmarkEnd w:id="2"/>
      <w:bookmarkEnd w:id="3"/>
    </w:p>
    <w:p>
      <w:pPr>
        <w:jc w:val="center"/>
        <w:rPr>
          <w:rFonts w:hint="eastAsia" w:ascii="仿宋_GB2312" w:hAnsi="仿宋_GB2312" w:eastAsia="仿宋_GB2312" w:cs="仿宋_GB2312"/>
          <w:b/>
          <w:bCs/>
          <w:sz w:val="44"/>
          <w:szCs w:val="44"/>
          <w:highlight w:val="none"/>
        </w:rPr>
      </w:pPr>
      <w:bookmarkStart w:id="4" w:name="_Toc22591"/>
      <w:bookmarkStart w:id="5" w:name="_Toc24385"/>
      <w:bookmarkStart w:id="6" w:name="_Toc3601"/>
      <w:bookmarkStart w:id="7" w:name="_Toc20933"/>
    </w:p>
    <w:p>
      <w:pPr>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旋转桶式活动护栏拼装及配送劳务服务</w:t>
      </w:r>
    </w:p>
    <w:p>
      <w:pPr>
        <w:jc w:val="center"/>
        <w:rPr>
          <w:rFonts w:hint="eastAsia" w:ascii="仿宋_GB2312" w:eastAsia="仿宋_GB2312"/>
          <w:sz w:val="44"/>
          <w:szCs w:val="44"/>
          <w:highlight w:val="none"/>
          <w:lang w:val="en-US" w:eastAsia="zh-CN"/>
        </w:rPr>
      </w:pPr>
      <w:r>
        <w:rPr>
          <w:rFonts w:hint="eastAsia" w:ascii="仿宋_GB2312" w:hAnsi="仿宋_GB2312" w:eastAsia="仿宋_GB2312" w:cs="仿宋_GB2312"/>
          <w:b/>
          <w:bCs/>
          <w:sz w:val="44"/>
          <w:szCs w:val="44"/>
          <w:highlight w:val="none"/>
        </w:rPr>
        <w:t>询价采购文件</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r>
        <w:rPr>
          <w:rFonts w:hint="eastAsia" w:ascii="仿宋_GB2312" w:eastAsia="仿宋_GB2312"/>
          <w:sz w:val="36"/>
          <w:szCs w:val="36"/>
          <w:highlight w:val="none"/>
        </w:rPr>
        <w:t>询价采购人：</w:t>
      </w:r>
      <w:r>
        <w:rPr>
          <w:rFonts w:hint="eastAsia" w:ascii="仿宋_GB2312" w:eastAsia="仿宋_GB2312"/>
          <w:sz w:val="36"/>
          <w:szCs w:val="36"/>
          <w:highlight w:val="none"/>
          <w:lang w:val="en-US" w:eastAsia="zh-CN"/>
        </w:rPr>
        <w:t>福路通资源循环（福建）有限公司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z w:val="36"/>
          <w:szCs w:val="36"/>
          <w:highlight w:val="none"/>
        </w:rPr>
      </w:pPr>
      <w:r>
        <w:rPr>
          <w:rFonts w:hint="eastAsia" w:ascii="仿宋_GB2312" w:eastAsia="仿宋_GB2312"/>
          <w:sz w:val="36"/>
          <w:szCs w:val="36"/>
          <w:highlight w:val="none"/>
        </w:rPr>
        <w:t>日  期：2025年</w:t>
      </w:r>
      <w:r>
        <w:rPr>
          <w:rFonts w:hint="eastAsia" w:ascii="仿宋_GB2312" w:eastAsia="仿宋_GB2312"/>
          <w:sz w:val="36"/>
          <w:szCs w:val="36"/>
          <w:highlight w:val="none"/>
          <w:lang w:val="en-US" w:eastAsia="zh-CN"/>
        </w:rPr>
        <w:t>11</w:t>
      </w:r>
      <w:r>
        <w:rPr>
          <w:rFonts w:hint="eastAsia" w:ascii="仿宋_GB2312" w:eastAsia="仿宋_GB2312"/>
          <w:sz w:val="36"/>
          <w:szCs w:val="36"/>
          <w:highlight w:val="none"/>
        </w:rPr>
        <w:t>月</w:t>
      </w:r>
      <w:r>
        <w:rPr>
          <w:rFonts w:hint="eastAsia" w:ascii="仿宋_GB2312" w:eastAsia="仿宋_GB2312"/>
          <w:sz w:val="36"/>
          <w:szCs w:val="36"/>
          <w:highlight w:val="none"/>
          <w:lang w:val="en-US" w:eastAsia="zh-CN"/>
        </w:rPr>
        <w:t>2</w:t>
      </w:r>
      <w:r>
        <w:rPr>
          <w:rFonts w:hint="eastAsia" w:ascii="仿宋_GB2312" w:eastAsia="仿宋_GB2312"/>
          <w:sz w:val="36"/>
          <w:szCs w:val="36"/>
          <w:highlight w:val="none"/>
          <w:lang w:val="en-US" w:eastAsia="zh-CN"/>
        </w:rPr>
        <w:t>7</w:t>
      </w:r>
      <w:r>
        <w:rPr>
          <w:rFonts w:hint="eastAsia" w:ascii="仿宋_GB2312" w:eastAsia="仿宋_GB2312"/>
          <w:sz w:val="36"/>
          <w:szCs w:val="36"/>
          <w:highlight w:val="none"/>
        </w:rPr>
        <w:t>日</w:t>
      </w:r>
    </w:p>
    <w:p>
      <w:pPr>
        <w:rPr>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highlight w:val="none"/>
        </w:rPr>
      </w:pPr>
      <w:bookmarkStart w:id="8" w:name="_Toc17350"/>
      <w:bookmarkStart w:id="9" w:name="_Toc15082"/>
      <w:bookmarkStart w:id="10" w:name="_Toc10711"/>
      <w:bookmarkStart w:id="11" w:name="_Toc15660"/>
      <w:bookmarkStart w:id="12" w:name="_Toc30909"/>
      <w:bookmarkStart w:id="13" w:name="_Toc9421"/>
      <w:r>
        <w:rPr>
          <w:rFonts w:hint="eastAsia" w:ascii="黑体" w:hAnsi="黑体" w:eastAsia="黑体" w:cs="黑体"/>
          <w:sz w:val="44"/>
          <w:szCs w:val="44"/>
          <w:highlight w:val="none"/>
        </w:rPr>
        <w:t>目  录</w:t>
      </w:r>
      <w:bookmarkEnd w:id="8"/>
      <w:bookmarkEnd w:id="9"/>
      <w:bookmarkEnd w:id="10"/>
      <w:bookmarkEnd w:id="11"/>
      <w:bookmarkEnd w:id="12"/>
    </w:p>
    <w:bookmarkEnd w:id="13"/>
    <w:sdt>
      <w:sdtPr>
        <w:rPr>
          <w:rFonts w:ascii="宋体" w:hAnsi="宋体" w:eastAsia="宋体" w:cs="Times New Roman"/>
          <w:kern w:val="2"/>
          <w:sz w:val="21"/>
          <w:highlight w:val="none"/>
          <w:lang w:val="en-US" w:eastAsia="zh-CN" w:bidi="ar-SA"/>
        </w:rPr>
        <w:id w:val="147464670"/>
        <w15:color w:val="DBDBDB"/>
        <w:docPartObj>
          <w:docPartGallery w:val="Table of Contents"/>
          <w:docPartUnique/>
        </w:docPartObj>
      </w:sdtPr>
      <w:sdtEndPr>
        <w:rPr>
          <w:rFonts w:hint="eastAsia" w:ascii="仿宋_GB2312" w:hAnsi="仿宋_GB2312" w:eastAsia="仿宋_GB2312" w:cs="仿宋_GB2312"/>
          <w:b w:val="0"/>
          <w:bCs w:val="0"/>
          <w:kern w:val="2"/>
          <w:sz w:val="32"/>
          <w:szCs w:val="32"/>
          <w:highlight w:val="none"/>
          <w:lang w:val="en-US" w:eastAsia="zh-CN" w:bidi="ar-SA"/>
        </w:rPr>
      </w:sdtEndPr>
      <w:sdtContent>
        <w:p>
          <w:pPr>
            <w:pStyle w:val="21"/>
            <w:keepNext w:val="0"/>
            <w:keepLines w:val="0"/>
            <w:pageBreakBefore w:val="0"/>
            <w:widowControl w:val="0"/>
            <w:tabs>
              <w:tab w:val="right" w:leader="dot" w:pos="8902"/>
              <w:tab w:val="clear" w:pos="8505"/>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rPr>
            <w:fldChar w:fldCharType="begin"/>
          </w:r>
          <w:r>
            <w:rPr>
              <w:rFonts w:hint="eastAsia" w:ascii="仿宋_GB2312" w:hAnsi="仿宋_GB2312" w:eastAsia="仿宋_GB2312" w:cs="仿宋_GB2312"/>
              <w:b w:val="0"/>
              <w:bCs w:val="0"/>
              <w:sz w:val="32"/>
              <w:szCs w:val="32"/>
              <w:highlight w:val="none"/>
            </w:rPr>
            <w:instrText xml:space="preserve">TOC \o "1-1" \h \u </w:instrText>
          </w:r>
          <w:r>
            <w:rPr>
              <w:rFonts w:hint="eastAsia" w:ascii="仿宋_GB2312" w:hAnsi="仿宋_GB2312" w:eastAsia="仿宋_GB2312" w:cs="仿宋_GB2312"/>
              <w:b w:val="0"/>
              <w:bCs w:val="0"/>
              <w:sz w:val="32"/>
              <w:szCs w:val="32"/>
              <w:highlight w:val="none"/>
            </w:rPr>
            <w:fldChar w:fldCharType="separate"/>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_Toc6919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第一篇  询价采购公告</w:t>
          </w:r>
          <w:r>
            <w:rPr>
              <w:b w:val="0"/>
              <w:bCs/>
              <w:highlight w:val="none"/>
            </w:rPr>
            <w:tab/>
          </w:r>
          <w:r>
            <w:rPr>
              <w:b w:val="0"/>
              <w:bCs/>
              <w:highlight w:val="none"/>
            </w:rPr>
            <w:fldChar w:fldCharType="begin"/>
          </w:r>
          <w:r>
            <w:rPr>
              <w:b w:val="0"/>
              <w:bCs/>
              <w:highlight w:val="none"/>
            </w:rPr>
            <w:instrText xml:space="preserve"> PAGEREF _Toc6919 \h </w:instrText>
          </w:r>
          <w:r>
            <w:rPr>
              <w:b w:val="0"/>
              <w:bCs/>
              <w:highlight w:val="none"/>
            </w:rPr>
            <w:fldChar w:fldCharType="separate"/>
          </w:r>
          <w:r>
            <w:rPr>
              <w:b w:val="0"/>
              <w:bCs/>
              <w:highlight w:val="none"/>
            </w:rPr>
            <w:t>3</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_Toc21829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第二篇  项目采购规格、最高限价及质量要求</w:t>
          </w:r>
          <w:r>
            <w:rPr>
              <w:b w:val="0"/>
              <w:bCs/>
              <w:highlight w:val="none"/>
            </w:rPr>
            <w:tab/>
          </w:r>
          <w:r>
            <w:rPr>
              <w:b w:val="0"/>
              <w:bCs/>
              <w:highlight w:val="none"/>
            </w:rPr>
            <w:fldChar w:fldCharType="begin"/>
          </w:r>
          <w:r>
            <w:rPr>
              <w:b w:val="0"/>
              <w:bCs/>
              <w:highlight w:val="none"/>
            </w:rPr>
            <w:instrText xml:space="preserve"> PAGEREF _Toc21829 \h </w:instrText>
          </w:r>
          <w:r>
            <w:rPr>
              <w:b w:val="0"/>
              <w:bCs/>
              <w:highlight w:val="none"/>
            </w:rPr>
            <w:fldChar w:fldCharType="separate"/>
          </w:r>
          <w:r>
            <w:rPr>
              <w:b w:val="0"/>
              <w:bCs/>
              <w:highlight w:val="none"/>
            </w:rPr>
            <w:t>7</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_Toc4395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第三篇  供应商须知</w:t>
          </w:r>
          <w:r>
            <w:rPr>
              <w:b w:val="0"/>
              <w:bCs/>
              <w:highlight w:val="none"/>
            </w:rPr>
            <w:tab/>
          </w:r>
          <w:r>
            <w:rPr>
              <w:b w:val="0"/>
              <w:bCs/>
              <w:highlight w:val="none"/>
            </w:rPr>
            <w:fldChar w:fldCharType="begin"/>
          </w:r>
          <w:r>
            <w:rPr>
              <w:b w:val="0"/>
              <w:bCs/>
              <w:highlight w:val="none"/>
            </w:rPr>
            <w:instrText xml:space="preserve"> PAGEREF _Toc4395 \h </w:instrText>
          </w:r>
          <w:r>
            <w:rPr>
              <w:b w:val="0"/>
              <w:bCs/>
              <w:highlight w:val="none"/>
            </w:rPr>
            <w:fldChar w:fldCharType="separate"/>
          </w:r>
          <w:r>
            <w:rPr>
              <w:b w:val="0"/>
              <w:bCs/>
              <w:highlight w:val="none"/>
            </w:rPr>
            <w:t>9</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_Toc29640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第四篇  响应文件要求</w:t>
          </w:r>
          <w:r>
            <w:rPr>
              <w:b w:val="0"/>
              <w:bCs/>
              <w:highlight w:val="none"/>
            </w:rPr>
            <w:tab/>
          </w:r>
          <w:r>
            <w:rPr>
              <w:b w:val="0"/>
              <w:bCs/>
              <w:highlight w:val="none"/>
            </w:rPr>
            <w:fldChar w:fldCharType="begin"/>
          </w:r>
          <w:r>
            <w:rPr>
              <w:b w:val="0"/>
              <w:bCs/>
              <w:highlight w:val="none"/>
            </w:rPr>
            <w:instrText xml:space="preserve"> PAGEREF _Toc29640 \h </w:instrText>
          </w:r>
          <w:r>
            <w:rPr>
              <w:b w:val="0"/>
              <w:bCs/>
              <w:highlight w:val="none"/>
            </w:rPr>
            <w:fldChar w:fldCharType="separate"/>
          </w:r>
          <w:r>
            <w:rPr>
              <w:b w:val="0"/>
              <w:bCs/>
              <w:highlight w:val="none"/>
            </w:rPr>
            <w:t>12</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_Toc18033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第五篇  评审办法</w:t>
          </w:r>
          <w:r>
            <w:rPr>
              <w:b w:val="0"/>
              <w:bCs/>
              <w:highlight w:val="none"/>
            </w:rPr>
            <w:tab/>
          </w:r>
          <w:r>
            <w:rPr>
              <w:b w:val="0"/>
              <w:bCs/>
              <w:highlight w:val="none"/>
            </w:rPr>
            <w:fldChar w:fldCharType="begin"/>
          </w:r>
          <w:r>
            <w:rPr>
              <w:b w:val="0"/>
              <w:bCs/>
              <w:highlight w:val="none"/>
            </w:rPr>
            <w:instrText xml:space="preserve"> PAGEREF _Toc18033 \h </w:instrText>
          </w:r>
          <w:r>
            <w:rPr>
              <w:b w:val="0"/>
              <w:bCs/>
              <w:highlight w:val="none"/>
            </w:rPr>
            <w:fldChar w:fldCharType="separate"/>
          </w:r>
          <w:r>
            <w:rPr>
              <w:b w:val="0"/>
              <w:bCs/>
              <w:highlight w:val="none"/>
            </w:rPr>
            <w:t>15</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_Toc26283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第六篇  合同主要条款、合同格式</w:t>
          </w:r>
          <w:r>
            <w:rPr>
              <w:b w:val="0"/>
              <w:bCs/>
              <w:highlight w:val="none"/>
            </w:rPr>
            <w:tab/>
          </w:r>
          <w:r>
            <w:rPr>
              <w:b w:val="0"/>
              <w:bCs/>
              <w:highlight w:val="none"/>
            </w:rPr>
            <w:fldChar w:fldCharType="begin"/>
          </w:r>
          <w:r>
            <w:rPr>
              <w:b w:val="0"/>
              <w:bCs/>
              <w:highlight w:val="none"/>
            </w:rPr>
            <w:instrText xml:space="preserve"> PAGEREF _Toc26283 \h </w:instrText>
          </w:r>
          <w:r>
            <w:rPr>
              <w:b w:val="0"/>
              <w:bCs/>
              <w:highlight w:val="none"/>
            </w:rPr>
            <w:fldChar w:fldCharType="separate"/>
          </w:r>
          <w:r>
            <w:rPr>
              <w:b w:val="0"/>
              <w:bCs/>
              <w:highlight w:val="none"/>
            </w:rPr>
            <w:t>19</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_Toc26189 </w:instrText>
          </w:r>
          <w:r>
            <w:rPr>
              <w:rFonts w:hint="eastAsia" w:ascii="仿宋_GB2312" w:hAnsi="仿宋_GB2312" w:eastAsia="仿宋_GB2312" w:cs="仿宋_GB2312"/>
              <w:b w:val="0"/>
              <w:bCs/>
              <w:szCs w:val="32"/>
              <w:highlight w:val="none"/>
            </w:rPr>
            <w:fldChar w:fldCharType="separate"/>
          </w:r>
          <w:r>
            <w:rPr>
              <w:rFonts w:hint="eastAsia" w:ascii="黑体" w:hAnsi="黑体" w:eastAsia="黑体" w:cs="黑体"/>
              <w:b w:val="0"/>
              <w:bCs/>
              <w:szCs w:val="44"/>
              <w:highlight w:val="none"/>
            </w:rPr>
            <w:t>第七篇  响应文件格式</w:t>
          </w:r>
          <w:r>
            <w:rPr>
              <w:b w:val="0"/>
              <w:bCs/>
              <w:highlight w:val="none"/>
            </w:rPr>
            <w:tab/>
          </w:r>
          <w:r>
            <w:rPr>
              <w:b w:val="0"/>
              <w:bCs/>
              <w:highlight w:val="none"/>
            </w:rPr>
            <w:fldChar w:fldCharType="begin"/>
          </w:r>
          <w:r>
            <w:rPr>
              <w:b w:val="0"/>
              <w:bCs/>
              <w:highlight w:val="none"/>
            </w:rPr>
            <w:instrText xml:space="preserve"> PAGEREF _Toc26189 \h </w:instrText>
          </w:r>
          <w:r>
            <w:rPr>
              <w:b w:val="0"/>
              <w:bCs/>
              <w:highlight w:val="none"/>
            </w:rPr>
            <w:fldChar w:fldCharType="separate"/>
          </w:r>
          <w:r>
            <w:rPr>
              <w:b w:val="0"/>
              <w:bCs/>
              <w:highlight w:val="none"/>
            </w:rPr>
            <w:t>26</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_Toc2984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rPr>
            <w:t>目</w:t>
          </w:r>
          <w:r>
            <w:rPr>
              <w:rFonts w:ascii="仿宋_GB2312" w:hAnsi="仿宋_GB2312" w:eastAsia="仿宋_GB2312" w:cs="仿宋_GB2312"/>
              <w:b w:val="0"/>
              <w:bCs/>
              <w:kern w:val="44"/>
              <w:szCs w:val="44"/>
              <w:highlight w:val="none"/>
            </w:rPr>
            <w:t xml:space="preserve">  </w:t>
          </w:r>
          <w:r>
            <w:rPr>
              <w:rFonts w:hint="eastAsia" w:ascii="仿宋_GB2312" w:hAnsi="仿宋_GB2312" w:eastAsia="仿宋_GB2312" w:cs="仿宋_GB2312"/>
              <w:b w:val="0"/>
              <w:bCs/>
              <w:kern w:val="44"/>
              <w:szCs w:val="44"/>
              <w:highlight w:val="none"/>
            </w:rPr>
            <w:t>录</w:t>
          </w:r>
          <w:r>
            <w:rPr>
              <w:b w:val="0"/>
              <w:bCs/>
              <w:highlight w:val="none"/>
            </w:rPr>
            <w:tab/>
          </w:r>
          <w:r>
            <w:rPr>
              <w:b w:val="0"/>
              <w:bCs/>
              <w:highlight w:val="none"/>
            </w:rPr>
            <w:fldChar w:fldCharType="begin"/>
          </w:r>
          <w:r>
            <w:rPr>
              <w:b w:val="0"/>
              <w:bCs/>
              <w:highlight w:val="none"/>
            </w:rPr>
            <w:instrText xml:space="preserve"> PAGEREF _Toc2984 \h </w:instrText>
          </w:r>
          <w:r>
            <w:rPr>
              <w:b w:val="0"/>
              <w:bCs/>
              <w:highlight w:val="none"/>
            </w:rPr>
            <w:fldChar w:fldCharType="separate"/>
          </w:r>
          <w:r>
            <w:rPr>
              <w:b w:val="0"/>
              <w:bCs/>
              <w:highlight w:val="none"/>
            </w:rPr>
            <w:t>29</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_Toc8002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rPr>
            <w:t>一、报 价 函</w:t>
          </w:r>
          <w:r>
            <w:rPr>
              <w:b w:val="0"/>
              <w:bCs/>
              <w:highlight w:val="none"/>
            </w:rPr>
            <w:tab/>
          </w:r>
          <w:r>
            <w:rPr>
              <w:b w:val="0"/>
              <w:bCs/>
              <w:highlight w:val="none"/>
            </w:rPr>
            <w:fldChar w:fldCharType="begin"/>
          </w:r>
          <w:r>
            <w:rPr>
              <w:b w:val="0"/>
              <w:bCs/>
              <w:highlight w:val="none"/>
            </w:rPr>
            <w:instrText xml:space="preserve"> PAGEREF _Toc8002 \h </w:instrText>
          </w:r>
          <w:r>
            <w:rPr>
              <w:b w:val="0"/>
              <w:bCs/>
              <w:highlight w:val="none"/>
            </w:rPr>
            <w:fldChar w:fldCharType="separate"/>
          </w:r>
          <w:r>
            <w:rPr>
              <w:b w:val="0"/>
              <w:bCs/>
              <w:highlight w:val="none"/>
            </w:rPr>
            <w:t>30</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_Toc18464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lang w:val="en-US" w:eastAsia="zh-CN" w:bidi="ar-SA"/>
            </w:rPr>
            <w:t>二、</w:t>
          </w:r>
          <w:r>
            <w:rPr>
              <w:rFonts w:hint="eastAsia" w:ascii="仿宋_GB2312" w:hAnsi="仿宋_GB2312" w:eastAsia="仿宋_GB2312" w:cs="仿宋_GB2312"/>
              <w:b w:val="0"/>
              <w:bCs/>
              <w:kern w:val="44"/>
              <w:szCs w:val="44"/>
              <w:highlight w:val="none"/>
            </w:rPr>
            <w:t>报 价 表</w:t>
          </w:r>
          <w:r>
            <w:rPr>
              <w:b w:val="0"/>
              <w:bCs/>
              <w:highlight w:val="none"/>
            </w:rPr>
            <w:tab/>
          </w:r>
          <w:r>
            <w:rPr>
              <w:b w:val="0"/>
              <w:bCs/>
              <w:highlight w:val="none"/>
            </w:rPr>
            <w:fldChar w:fldCharType="begin"/>
          </w:r>
          <w:r>
            <w:rPr>
              <w:b w:val="0"/>
              <w:bCs/>
              <w:highlight w:val="none"/>
            </w:rPr>
            <w:instrText xml:space="preserve"> PAGEREF _Toc18464 \h </w:instrText>
          </w:r>
          <w:r>
            <w:rPr>
              <w:b w:val="0"/>
              <w:bCs/>
              <w:highlight w:val="none"/>
            </w:rPr>
            <w:fldChar w:fldCharType="separate"/>
          </w:r>
          <w:r>
            <w:rPr>
              <w:b w:val="0"/>
              <w:bCs/>
              <w:highlight w:val="none"/>
            </w:rPr>
            <w:t>31</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_Toc5746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rPr>
            <w:t>三、供应商法定代表人身份证明书</w:t>
          </w:r>
          <w:r>
            <w:rPr>
              <w:b w:val="0"/>
              <w:bCs/>
              <w:highlight w:val="none"/>
            </w:rPr>
            <w:tab/>
          </w:r>
          <w:r>
            <w:rPr>
              <w:b w:val="0"/>
              <w:bCs/>
              <w:highlight w:val="none"/>
            </w:rPr>
            <w:fldChar w:fldCharType="begin"/>
          </w:r>
          <w:r>
            <w:rPr>
              <w:b w:val="0"/>
              <w:bCs/>
              <w:highlight w:val="none"/>
            </w:rPr>
            <w:instrText xml:space="preserve"> PAGEREF _Toc5746 \h </w:instrText>
          </w:r>
          <w:r>
            <w:rPr>
              <w:b w:val="0"/>
              <w:bCs/>
              <w:highlight w:val="none"/>
            </w:rPr>
            <w:fldChar w:fldCharType="separate"/>
          </w:r>
          <w:r>
            <w:rPr>
              <w:b w:val="0"/>
              <w:bCs/>
              <w:highlight w:val="none"/>
            </w:rPr>
            <w:t>32</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_Toc13546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rPr>
            <w:t>四、供应商法定代表人授权委托书</w:t>
          </w:r>
          <w:r>
            <w:rPr>
              <w:b w:val="0"/>
              <w:bCs/>
              <w:highlight w:val="none"/>
            </w:rPr>
            <w:tab/>
          </w:r>
          <w:r>
            <w:rPr>
              <w:b w:val="0"/>
              <w:bCs/>
              <w:highlight w:val="none"/>
            </w:rPr>
            <w:fldChar w:fldCharType="begin"/>
          </w:r>
          <w:r>
            <w:rPr>
              <w:b w:val="0"/>
              <w:bCs/>
              <w:highlight w:val="none"/>
            </w:rPr>
            <w:instrText xml:space="preserve"> PAGEREF _Toc13546 \h </w:instrText>
          </w:r>
          <w:r>
            <w:rPr>
              <w:b w:val="0"/>
              <w:bCs/>
              <w:highlight w:val="none"/>
            </w:rPr>
            <w:fldChar w:fldCharType="separate"/>
          </w:r>
          <w:r>
            <w:rPr>
              <w:b w:val="0"/>
              <w:bCs/>
              <w:highlight w:val="none"/>
            </w:rPr>
            <w:t>34</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_Toc20647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rPr>
            <w:t>五、资质文件</w:t>
          </w:r>
          <w:r>
            <w:rPr>
              <w:b w:val="0"/>
              <w:bCs/>
              <w:highlight w:val="none"/>
            </w:rPr>
            <w:tab/>
          </w:r>
          <w:r>
            <w:rPr>
              <w:b w:val="0"/>
              <w:bCs/>
              <w:highlight w:val="none"/>
            </w:rPr>
            <w:fldChar w:fldCharType="begin"/>
          </w:r>
          <w:r>
            <w:rPr>
              <w:b w:val="0"/>
              <w:bCs/>
              <w:highlight w:val="none"/>
            </w:rPr>
            <w:instrText xml:space="preserve"> PAGEREF _Toc20647 \h </w:instrText>
          </w:r>
          <w:r>
            <w:rPr>
              <w:b w:val="0"/>
              <w:bCs/>
              <w:highlight w:val="none"/>
            </w:rPr>
            <w:fldChar w:fldCharType="separate"/>
          </w:r>
          <w:r>
            <w:rPr>
              <w:b w:val="0"/>
              <w:bCs/>
              <w:highlight w:val="none"/>
            </w:rPr>
            <w:t>36</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_Toc7600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lang w:val="en-US" w:eastAsia="zh-CN"/>
            </w:rPr>
            <w:t>六</w:t>
          </w:r>
          <w:r>
            <w:rPr>
              <w:rFonts w:hint="eastAsia" w:ascii="仿宋_GB2312" w:hAnsi="仿宋_GB2312" w:eastAsia="仿宋_GB2312" w:cs="仿宋_GB2312"/>
              <w:b w:val="0"/>
              <w:bCs/>
              <w:kern w:val="44"/>
              <w:szCs w:val="44"/>
              <w:highlight w:val="none"/>
            </w:rPr>
            <w:t>、其他文件</w:t>
          </w:r>
          <w:r>
            <w:rPr>
              <w:b w:val="0"/>
              <w:bCs/>
              <w:highlight w:val="none"/>
            </w:rPr>
            <w:tab/>
          </w:r>
          <w:r>
            <w:rPr>
              <w:b w:val="0"/>
              <w:bCs/>
              <w:highlight w:val="none"/>
            </w:rPr>
            <w:fldChar w:fldCharType="begin"/>
          </w:r>
          <w:r>
            <w:rPr>
              <w:b w:val="0"/>
              <w:bCs/>
              <w:highlight w:val="none"/>
            </w:rPr>
            <w:instrText xml:space="preserve"> PAGEREF _Toc7600 \h </w:instrText>
          </w:r>
          <w:r>
            <w:rPr>
              <w:b w:val="0"/>
              <w:bCs/>
              <w:highlight w:val="none"/>
            </w:rPr>
            <w:fldChar w:fldCharType="separate"/>
          </w:r>
          <w:r>
            <w:rPr>
              <w:b w:val="0"/>
              <w:bCs/>
              <w:highlight w:val="none"/>
            </w:rPr>
            <w:t>37</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_Toc1224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lang w:val="en-US" w:eastAsia="zh-CN"/>
            </w:rPr>
            <w:t>七、承诺函</w:t>
          </w:r>
          <w:r>
            <w:rPr>
              <w:b w:val="0"/>
              <w:bCs/>
              <w:highlight w:val="none"/>
            </w:rPr>
            <w:tab/>
          </w:r>
          <w:r>
            <w:rPr>
              <w:b w:val="0"/>
              <w:bCs/>
              <w:highlight w:val="none"/>
            </w:rPr>
            <w:fldChar w:fldCharType="begin"/>
          </w:r>
          <w:r>
            <w:rPr>
              <w:b w:val="0"/>
              <w:bCs/>
              <w:highlight w:val="none"/>
            </w:rPr>
            <w:instrText xml:space="preserve"> PAGEREF _Toc1224 \h </w:instrText>
          </w:r>
          <w:r>
            <w:rPr>
              <w:b w:val="0"/>
              <w:bCs/>
              <w:highlight w:val="none"/>
            </w:rPr>
            <w:fldChar w:fldCharType="separate"/>
          </w:r>
          <w:r>
            <w:rPr>
              <w:b w:val="0"/>
              <w:bCs/>
              <w:highlight w:val="none"/>
            </w:rPr>
            <w:t>38</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1"/>
            <w:tabs>
              <w:tab w:val="right" w:leader="dot" w:pos="8902"/>
              <w:tab w:val="clear" w:pos="8505"/>
            </w:tabs>
            <w:rPr>
              <w:b w:val="0"/>
              <w:bCs/>
              <w:highlight w:val="none"/>
            </w:rPr>
          </w:pPr>
          <w:r>
            <w:rPr>
              <w:rFonts w:hint="eastAsia" w:ascii="仿宋_GB2312" w:hAnsi="仿宋_GB2312" w:eastAsia="仿宋_GB2312" w:cs="仿宋_GB2312"/>
              <w:b w:val="0"/>
              <w:bCs/>
              <w:szCs w:val="32"/>
              <w:highlight w:val="none"/>
            </w:rPr>
            <w:fldChar w:fldCharType="begin"/>
          </w:r>
          <w:r>
            <w:rPr>
              <w:rFonts w:hint="eastAsia" w:ascii="仿宋_GB2312" w:hAnsi="仿宋_GB2312" w:eastAsia="仿宋_GB2312" w:cs="仿宋_GB2312"/>
              <w:b w:val="0"/>
              <w:bCs/>
              <w:szCs w:val="32"/>
              <w:highlight w:val="none"/>
            </w:rPr>
            <w:instrText xml:space="preserve"> HYPERLINK \l _Toc6167 </w:instrText>
          </w:r>
          <w:r>
            <w:rPr>
              <w:rFonts w:hint="eastAsia" w:ascii="仿宋_GB2312" w:hAnsi="仿宋_GB2312" w:eastAsia="仿宋_GB2312" w:cs="仿宋_GB2312"/>
              <w:b w:val="0"/>
              <w:bCs/>
              <w:szCs w:val="32"/>
              <w:highlight w:val="none"/>
            </w:rPr>
            <w:fldChar w:fldCharType="separate"/>
          </w:r>
          <w:r>
            <w:rPr>
              <w:rFonts w:hint="eastAsia" w:ascii="仿宋_GB2312" w:hAnsi="仿宋_GB2312" w:eastAsia="仿宋_GB2312" w:cs="仿宋_GB2312"/>
              <w:b w:val="0"/>
              <w:bCs/>
              <w:kern w:val="44"/>
              <w:szCs w:val="44"/>
              <w:highlight w:val="none"/>
              <w:lang w:val="en-US" w:eastAsia="zh-CN"/>
            </w:rPr>
            <w:t>八</w:t>
          </w:r>
          <w:r>
            <w:rPr>
              <w:rFonts w:hint="eastAsia" w:ascii="仿宋_GB2312" w:hAnsi="仿宋_GB2312" w:eastAsia="仿宋_GB2312" w:cs="仿宋_GB2312"/>
              <w:b w:val="0"/>
              <w:bCs/>
              <w:kern w:val="44"/>
              <w:szCs w:val="44"/>
              <w:highlight w:val="none"/>
            </w:rPr>
            <w:t>、供应商廉政保证书</w:t>
          </w:r>
          <w:r>
            <w:rPr>
              <w:b w:val="0"/>
              <w:bCs/>
              <w:highlight w:val="none"/>
            </w:rPr>
            <w:tab/>
          </w:r>
          <w:r>
            <w:rPr>
              <w:b w:val="0"/>
              <w:bCs/>
              <w:highlight w:val="none"/>
            </w:rPr>
            <w:fldChar w:fldCharType="begin"/>
          </w:r>
          <w:r>
            <w:rPr>
              <w:b w:val="0"/>
              <w:bCs/>
              <w:highlight w:val="none"/>
            </w:rPr>
            <w:instrText xml:space="preserve"> PAGEREF _Toc6167 \h </w:instrText>
          </w:r>
          <w:r>
            <w:rPr>
              <w:b w:val="0"/>
              <w:bCs/>
              <w:highlight w:val="none"/>
            </w:rPr>
            <w:fldChar w:fldCharType="separate"/>
          </w:r>
          <w:r>
            <w:rPr>
              <w:b w:val="0"/>
              <w:bCs/>
              <w:highlight w:val="none"/>
            </w:rPr>
            <w:t>39</w:t>
          </w:r>
          <w:r>
            <w:rPr>
              <w:b w:val="0"/>
              <w:bCs/>
              <w:highlight w:val="none"/>
            </w:rPr>
            <w:fldChar w:fldCharType="end"/>
          </w:r>
          <w:r>
            <w:rPr>
              <w:rFonts w:hint="eastAsia" w:ascii="仿宋_GB2312" w:hAnsi="仿宋_GB2312" w:eastAsia="仿宋_GB2312" w:cs="仿宋_GB2312"/>
              <w:b w:val="0"/>
              <w:bCs/>
              <w:szCs w:val="32"/>
              <w:highlight w:val="none"/>
            </w:rPr>
            <w:fldChar w:fldCharType="end"/>
          </w:r>
        </w:p>
        <w:p>
          <w:pPr>
            <w:pStyle w:val="2"/>
            <w:keepNext w:val="0"/>
            <w:keepLines w:val="0"/>
            <w:pageBreakBefore w:val="0"/>
            <w:widowControl w:val="0"/>
            <w:tabs>
              <w:tab w:val="right" w:leader="dot" w:pos="890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sz w:val="32"/>
              <w:szCs w:val="32"/>
              <w:highlight w:val="none"/>
            </w:rPr>
            <w:fldChar w:fldCharType="end"/>
          </w:r>
        </w:p>
      </w:sdtContent>
    </w:sdt>
    <w:p>
      <w:pPr>
        <w:pStyle w:val="26"/>
        <w:keepNext w:val="0"/>
        <w:keepLines w:val="0"/>
        <w:widowControl w:val="0"/>
        <w:kinsoku/>
        <w:wordWrap/>
        <w:overflowPunct/>
        <w:topLinePunct w:val="0"/>
        <w:autoSpaceDE/>
        <w:autoSpaceDN/>
        <w:bidi w:val="0"/>
        <w:adjustRightInd/>
        <w:snapToGrid/>
        <w:spacing w:line="560" w:lineRule="exact"/>
        <w:textAlignment w:val="auto"/>
        <w:rPr>
          <w:rFonts w:hint="eastAsia"/>
          <w:highlight w:val="none"/>
        </w:rPr>
      </w:pPr>
    </w:p>
    <w:p>
      <w:pPr>
        <w:spacing w:line="560" w:lineRule="exact"/>
        <w:ind w:firstLine="640" w:firstLineChars="200"/>
        <w:rPr>
          <w:rFonts w:hint="eastAsia" w:ascii="仿宋_GB2312" w:hAnsi="仿宋_GB2312" w:eastAsia="仿宋_GB2312" w:cs="仿宋_GB2312"/>
          <w:sz w:val="32"/>
          <w:szCs w:val="32"/>
          <w:highlight w:val="none"/>
        </w:rPr>
      </w:pPr>
    </w:p>
    <w:p>
      <w:pPr>
        <w:keepNext w:val="0"/>
        <w:keepLines w:val="0"/>
        <w:pageBreakBefore/>
        <w:widowControl w:val="0"/>
        <w:kinsoku/>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14" w:name="_Toc6919"/>
      <w:bookmarkStart w:id="15" w:name="_Toc32144"/>
      <w:bookmarkStart w:id="16" w:name="_Toc31528"/>
      <w:r>
        <w:rPr>
          <w:rFonts w:hint="eastAsia" w:ascii="黑体" w:hAnsi="黑体" w:eastAsia="黑体" w:cs="黑体"/>
          <w:sz w:val="44"/>
          <w:szCs w:val="44"/>
          <w:highlight w:val="none"/>
        </w:rPr>
        <w:t>第一篇  询价采购公告</w:t>
      </w:r>
      <w:bookmarkEnd w:id="14"/>
      <w:bookmarkEnd w:id="15"/>
      <w:bookmarkEnd w:id="16"/>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福路通资源循环（福建）有限公司对</w:t>
      </w:r>
      <w:r>
        <w:rPr>
          <w:rFonts w:hint="eastAsia" w:ascii="仿宋_GB2312" w:hAnsi="仿宋_GB2312" w:eastAsia="仿宋_GB2312" w:cs="仿宋_GB2312"/>
          <w:sz w:val="32"/>
          <w:szCs w:val="32"/>
          <w:highlight w:val="none"/>
          <w:lang w:val="en-US" w:eastAsia="zh-CN"/>
        </w:rPr>
        <w:t>中央分隔旋转桶式活动护栏的拼装及配送服务</w:t>
      </w:r>
      <w:r>
        <w:rPr>
          <w:rFonts w:hint="eastAsia" w:ascii="仿宋_GB2312" w:hAnsi="仿宋_GB2312" w:eastAsia="仿宋_GB2312" w:cs="仿宋_GB2312"/>
          <w:sz w:val="32"/>
          <w:szCs w:val="32"/>
          <w:highlight w:val="none"/>
        </w:rPr>
        <w:t>进行询价采购，现欢迎中国境内具备资质能力的合格供应商参与本项目询价活动。</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highlight w:val="none"/>
        </w:rPr>
      </w:pPr>
      <w:bookmarkStart w:id="17" w:name="_Toc11987"/>
      <w:bookmarkStart w:id="18" w:name="_Toc7329"/>
      <w:bookmarkStart w:id="19" w:name="_Toc359"/>
      <w:bookmarkStart w:id="20" w:name="_Toc8192"/>
      <w:bookmarkStart w:id="21" w:name="_Toc257911916"/>
      <w:bookmarkStart w:id="22" w:name="_Toc508286650"/>
      <w:bookmarkStart w:id="23" w:name="_Toc409439663"/>
      <w:r>
        <w:rPr>
          <w:rFonts w:hint="eastAsia" w:ascii="仿宋_GB2312" w:hAnsi="仿宋_GB2312" w:eastAsia="仿宋_GB2312" w:cs="仿宋_GB2312"/>
          <w:b/>
          <w:sz w:val="32"/>
          <w:szCs w:val="32"/>
          <w:highlight w:val="none"/>
        </w:rPr>
        <w:t>一、项目基本情况</w:t>
      </w:r>
      <w:bookmarkEnd w:id="17"/>
      <w:bookmarkEnd w:id="18"/>
      <w:bookmarkEnd w:id="19"/>
      <w:bookmarkEnd w:id="20"/>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旋转桶式活动护栏的拼装及配送劳务服务</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采购方式：公开询价采购</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采购需求：</w:t>
      </w:r>
      <w:r>
        <w:rPr>
          <w:rFonts w:hint="eastAsia" w:ascii="仿宋_GB2312" w:hAnsi="仿宋_GB2312" w:eastAsia="仿宋_GB2312" w:cs="仿宋_GB2312"/>
          <w:sz w:val="32"/>
          <w:szCs w:val="32"/>
          <w:highlight w:val="none"/>
          <w:lang w:val="en-US" w:eastAsia="zh-CN"/>
        </w:rPr>
        <w:t>劳务协作服务</w:t>
      </w:r>
      <w:r>
        <w:rPr>
          <w:rFonts w:hint="eastAsia" w:ascii="仿宋_GB2312" w:hAnsi="仿宋_GB2312" w:eastAsia="仿宋_GB2312" w:cs="仿宋_GB2312"/>
          <w:sz w:val="32"/>
          <w:szCs w:val="32"/>
          <w:highlight w:val="none"/>
        </w:rPr>
        <w:t>，具体要求详见采购文件第二篇。</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项目含税最高限价：</w:t>
      </w:r>
      <w:r>
        <w:rPr>
          <w:rFonts w:hint="eastAsia" w:ascii="仿宋_GB2312" w:hAnsi="仿宋_GB2312" w:eastAsia="仿宋_GB2312" w:cs="仿宋_GB2312"/>
          <w:sz w:val="32"/>
          <w:szCs w:val="32"/>
          <w:highlight w:val="none"/>
          <w:lang w:val="en-US" w:eastAsia="zh-CN" w:bidi="ar"/>
        </w:rPr>
        <w:t>330000</w:t>
      </w:r>
      <w:r>
        <w:rPr>
          <w:rFonts w:hint="eastAsia" w:ascii="仿宋_GB2312" w:hAnsi="仿宋_GB2312" w:eastAsia="仿宋_GB2312" w:cs="仿宋_GB2312"/>
          <w:sz w:val="32"/>
          <w:szCs w:val="32"/>
          <w:highlight w:val="none"/>
          <w:lang w:bidi="ar"/>
        </w:rPr>
        <w:t>元</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合同履行期限：自合同签订之日起一年内</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供货地点：</w:t>
      </w:r>
      <w:r>
        <w:rPr>
          <w:rFonts w:hint="eastAsia" w:ascii="仿宋_GB2312" w:hAnsi="仿宋_GB2312" w:eastAsia="仿宋_GB2312" w:cs="仿宋_GB2312"/>
          <w:bCs/>
          <w:sz w:val="32"/>
          <w:szCs w:val="32"/>
          <w:highlight w:val="none"/>
        </w:rPr>
        <w:t>福建省内采购人指定地点</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highlight w:val="none"/>
        </w:rPr>
      </w:pPr>
      <w:bookmarkStart w:id="24" w:name="_Toc5762"/>
      <w:bookmarkStart w:id="25" w:name="_Toc27157"/>
      <w:bookmarkStart w:id="26" w:name="_Toc26096"/>
      <w:bookmarkStart w:id="27" w:name="_Toc12322"/>
      <w:r>
        <w:rPr>
          <w:rFonts w:hint="eastAsia" w:ascii="仿宋_GB2312" w:hAnsi="仿宋_GB2312" w:eastAsia="仿宋_GB2312" w:cs="仿宋_GB2312"/>
          <w:b/>
          <w:sz w:val="32"/>
          <w:szCs w:val="32"/>
          <w:highlight w:val="none"/>
        </w:rPr>
        <w:t>二、供应商资格条件</w:t>
      </w:r>
      <w:bookmarkEnd w:id="24"/>
      <w:bookmarkEnd w:id="25"/>
      <w:bookmarkEnd w:id="26"/>
      <w:bookmarkEnd w:id="27"/>
    </w:p>
    <w:p>
      <w:pPr>
        <w:keepNext w:val="0"/>
        <w:keepLines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28" w:name="_Toc19788"/>
      <w:bookmarkStart w:id="29" w:name="_Toc21706"/>
      <w:bookmarkStart w:id="30" w:name="OLE_LINK2"/>
      <w:r>
        <w:rPr>
          <w:rFonts w:hint="eastAsia" w:ascii="仿宋_GB2312" w:hAnsi="仿宋_GB2312" w:eastAsia="仿宋_GB2312" w:cs="仿宋_GB2312"/>
          <w:sz w:val="32"/>
          <w:szCs w:val="32"/>
          <w:highlight w:val="none"/>
        </w:rPr>
        <w:t>（一）在中华人民共和国境内注册且合法存续的企业法人。</w:t>
      </w:r>
      <w:bookmarkEnd w:id="28"/>
      <w:bookmarkEnd w:id="29"/>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具备建设行政主管部门核发的企业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安全生产许可证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r>
        <w:rPr>
          <w:rFonts w:hint="eastAsia" w:ascii="仿宋_GB2312" w:hAnsi="仿宋_GB2312" w:eastAsia="仿宋_GB2312" w:cs="仿宋_GB2312"/>
          <w:sz w:val="32"/>
          <w:szCs w:val="32"/>
          <w:highlight w:val="none"/>
        </w:rPr>
        <w:t>。</w:t>
      </w:r>
    </w:p>
    <w:p>
      <w:pPr>
        <w:keepNext w:val="0"/>
        <w:keepLines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）企业、法定代表人未被列入失信被执行人名单（应提供企业、企业法定代表人在中国执行信息公开网http://zxgk.court.gov.cn中“综合查询被执行人-全国法院”查询的信息（网页截图））。</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）符合国家法律、行政法规规定的其他条件。</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）本项目不接受联合体竞</w:t>
      </w:r>
      <w:r>
        <w:rPr>
          <w:rFonts w:hint="eastAsia" w:ascii="仿宋_GB2312" w:hAnsi="仿宋_GB2312" w:eastAsia="仿宋_GB2312" w:cs="仿宋_GB2312"/>
          <w:sz w:val="32"/>
          <w:szCs w:val="32"/>
          <w:highlight w:val="none"/>
          <w:lang w:val="en-US" w:eastAsia="zh-CN"/>
        </w:rPr>
        <w:t>价</w:t>
      </w:r>
      <w:r>
        <w:rPr>
          <w:rFonts w:hint="eastAsia" w:ascii="仿宋_GB2312" w:hAnsi="仿宋_GB2312" w:eastAsia="仿宋_GB2312" w:cs="仿宋_GB2312"/>
          <w:sz w:val="32"/>
          <w:szCs w:val="32"/>
          <w:highlight w:val="none"/>
        </w:rPr>
        <w:t>，不得转租、转让。</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）法定代表人为同一个人的两个及两个以上法人，母公司、全资子公司及其控股公司，存在资产关联关系的单位，不得在本次招商活动中同时提交竞价申请。</w:t>
      </w:r>
    </w:p>
    <w:bookmarkEnd w:id="30"/>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highlight w:val="none"/>
        </w:rPr>
      </w:pPr>
      <w:bookmarkStart w:id="31" w:name="_Toc13870"/>
      <w:bookmarkStart w:id="32" w:name="_Toc23288"/>
      <w:bookmarkStart w:id="33" w:name="_Toc24219"/>
      <w:bookmarkStart w:id="34" w:name="_Toc1301"/>
      <w:r>
        <w:rPr>
          <w:rFonts w:hint="eastAsia" w:ascii="仿宋_GB2312" w:hAnsi="仿宋_GB2312" w:eastAsia="仿宋_GB2312" w:cs="仿宋_GB2312"/>
          <w:b/>
          <w:sz w:val="32"/>
          <w:szCs w:val="32"/>
          <w:highlight w:val="none"/>
        </w:rPr>
        <w:t>三、采购文件获取方式</w:t>
      </w:r>
      <w:bookmarkEnd w:id="31"/>
      <w:bookmarkEnd w:id="32"/>
      <w:bookmarkEnd w:id="33"/>
      <w:bookmarkEnd w:id="34"/>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凡有意参加本项目的供应商采用以下两种方式获取采购文件：</w:t>
      </w:r>
    </w:p>
    <w:p>
      <w:pPr>
        <w:keepNext w:val="0"/>
        <w:keepLines w:val="0"/>
        <w:widowControl w:val="0"/>
        <w:kinsoku/>
        <w:wordWrap w:val="0"/>
        <w:overflowPunct/>
        <w:topLinePunct w:val="0"/>
        <w:autoSpaceDE/>
        <w:autoSpaceDN/>
        <w:bidi w:val="0"/>
        <w:adjustRightInd/>
        <w:snapToGrid/>
        <w:spacing w:line="560" w:lineRule="exact"/>
        <w:ind w:firstLine="640" w:firstLineChars="200"/>
        <w:textAlignment w:val="auto"/>
        <w:rPr>
          <w:rStyle w:val="37"/>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sz w:val="32"/>
          <w:szCs w:val="32"/>
          <w:highlight w:val="none"/>
        </w:rPr>
        <w:t>（一）意向参与本项目的供应商自行在本项目响应文件递交截止时间前访问福建省高速公路集团有限公司官网（</w:t>
      </w:r>
      <w:r>
        <w:rPr>
          <w:rStyle w:val="37"/>
          <w:rFonts w:hint="eastAsia" w:ascii="仿宋_GB2312" w:hAnsi="仿宋_GB2312" w:eastAsia="仿宋_GB2312" w:cs="仿宋_GB2312"/>
          <w:color w:val="auto"/>
          <w:sz w:val="32"/>
          <w:szCs w:val="32"/>
          <w:highlight w:val="none"/>
          <w:u w:val="none"/>
        </w:rPr>
        <w:fldChar w:fldCharType="begin"/>
      </w:r>
      <w:r>
        <w:rPr>
          <w:rStyle w:val="37"/>
          <w:rFonts w:hint="eastAsia" w:ascii="仿宋_GB2312" w:hAnsi="仿宋_GB2312" w:eastAsia="仿宋_GB2312" w:cs="仿宋_GB2312"/>
          <w:color w:val="auto"/>
          <w:sz w:val="32"/>
          <w:szCs w:val="32"/>
          <w:highlight w:val="none"/>
          <w:u w:val="none"/>
        </w:rPr>
        <w:instrText xml:space="preserve"> HYPERLINK "http://www.fjgsgl.com）自行下载,或请于2020年5月" </w:instrText>
      </w:r>
      <w:r>
        <w:rPr>
          <w:rStyle w:val="37"/>
          <w:rFonts w:hint="eastAsia" w:ascii="仿宋_GB2312" w:hAnsi="仿宋_GB2312" w:eastAsia="仿宋_GB2312" w:cs="仿宋_GB2312"/>
          <w:color w:val="auto"/>
          <w:sz w:val="32"/>
          <w:szCs w:val="32"/>
          <w:highlight w:val="none"/>
          <w:u w:val="none"/>
        </w:rPr>
        <w:fldChar w:fldCharType="separate"/>
      </w:r>
      <w:r>
        <w:rPr>
          <w:rStyle w:val="37"/>
          <w:rFonts w:hint="eastAsia" w:ascii="仿宋_GB2312" w:hAnsi="仿宋_GB2312" w:eastAsia="仿宋_GB2312" w:cs="仿宋_GB2312"/>
          <w:color w:val="auto"/>
          <w:sz w:val="32"/>
          <w:szCs w:val="32"/>
          <w:highlight w:val="none"/>
          <w:u w:val="none"/>
        </w:rPr>
        <w:t>www.fjgsgl.com）、</w:t>
      </w:r>
      <w:r>
        <w:rPr>
          <w:rStyle w:val="37"/>
          <w:rFonts w:hint="eastAsia" w:ascii="仿宋_GB2312" w:hAnsi="仿宋_GB2312" w:eastAsia="仿宋_GB2312" w:cs="仿宋_GB2312"/>
          <w:color w:val="auto"/>
          <w:sz w:val="32"/>
          <w:szCs w:val="32"/>
          <w:highlight w:val="none"/>
          <w:u w:val="none"/>
          <w:lang w:val="en-US" w:eastAsia="zh-CN"/>
        </w:rPr>
        <w:t>中国</w:t>
      </w:r>
      <w:r>
        <w:rPr>
          <w:rStyle w:val="37"/>
          <w:rFonts w:hint="eastAsia" w:ascii="仿宋_GB2312" w:hAnsi="仿宋_GB2312" w:eastAsia="仿宋_GB2312" w:cs="仿宋_GB2312"/>
          <w:color w:val="auto"/>
          <w:sz w:val="32"/>
          <w:szCs w:val="32"/>
          <w:highlight w:val="none"/>
          <w:u w:val="none"/>
        </w:rPr>
        <w:t>采购与招标网（http://www.chinabidding.com.cn/)、福建高速集采平台（https://gsjc.fjetc.com/)下载采购文件。</w:t>
      </w:r>
    </w:p>
    <w:p>
      <w:pPr>
        <w:keepNext w:val="0"/>
        <w:keepLines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Style w:val="37"/>
          <w:rFonts w:hint="eastAsia" w:ascii="仿宋_GB2312" w:hAnsi="仿宋_GB2312" w:eastAsia="仿宋_GB2312" w:cs="仿宋_GB2312"/>
          <w:color w:val="auto"/>
          <w:sz w:val="32"/>
          <w:szCs w:val="32"/>
          <w:highlight w:val="none"/>
          <w:u w:val="none"/>
        </w:rPr>
        <w:t>（二）意向参与本项目的供应商于2025年</w:t>
      </w:r>
      <w:r>
        <w:rPr>
          <w:rStyle w:val="37"/>
          <w:rFonts w:hint="eastAsia" w:ascii="仿宋_GB2312" w:hAnsi="仿宋_GB2312" w:eastAsia="仿宋_GB2312" w:cs="仿宋_GB2312"/>
          <w:color w:val="auto"/>
          <w:sz w:val="32"/>
          <w:szCs w:val="32"/>
          <w:highlight w:val="none"/>
          <w:u w:val="none"/>
          <w:lang w:val="en-US" w:eastAsia="zh-CN"/>
        </w:rPr>
        <w:t>11</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rPr>
        <w:fldChar w:fldCharType="end"/>
      </w:r>
      <w:r>
        <w:rPr>
          <w:rStyle w:val="37"/>
          <w:rFonts w:hint="eastAsia" w:ascii="仿宋_GB2312" w:hAnsi="仿宋_GB2312" w:eastAsia="仿宋_GB2312" w:cs="仿宋_GB2312"/>
          <w:color w:val="auto"/>
          <w:sz w:val="32"/>
          <w:szCs w:val="32"/>
          <w:highlight w:val="none"/>
          <w:u w:val="none"/>
          <w:lang w:val="en-US" w:eastAsia="zh-CN"/>
        </w:rPr>
        <w:t>27</w:t>
      </w:r>
      <w:r>
        <w:rPr>
          <w:rStyle w:val="37"/>
          <w:rFonts w:hint="eastAsia" w:ascii="仿宋_GB2312" w:hAnsi="仿宋_GB2312" w:eastAsia="仿宋_GB2312" w:cs="仿宋_GB2312"/>
          <w:color w:val="auto"/>
          <w:sz w:val="32"/>
          <w:szCs w:val="32"/>
          <w:highlight w:val="none"/>
          <w:u w:val="none"/>
        </w:rPr>
        <w:t>日至</w:t>
      </w:r>
      <w:r>
        <w:rPr>
          <w:rStyle w:val="37"/>
          <w:rFonts w:hint="eastAsia" w:ascii="仿宋_GB2312" w:hAnsi="仿宋_GB2312" w:eastAsia="仿宋_GB2312" w:cs="仿宋_GB2312"/>
          <w:color w:val="auto"/>
          <w:sz w:val="32"/>
          <w:szCs w:val="32"/>
          <w:highlight w:val="none"/>
          <w:u w:val="none"/>
          <w:lang w:val="en-US" w:eastAsia="zh-CN"/>
        </w:rPr>
        <w:t>12</w:t>
      </w:r>
      <w:r>
        <w:rPr>
          <w:rStyle w:val="37"/>
          <w:rFonts w:hint="eastAsia" w:ascii="仿宋_GB2312" w:hAnsi="仿宋_GB2312" w:eastAsia="仿宋_GB2312" w:cs="仿宋_GB2312"/>
          <w:color w:val="auto"/>
          <w:sz w:val="32"/>
          <w:szCs w:val="32"/>
          <w:highlight w:val="none"/>
          <w:u w:val="none"/>
        </w:rPr>
        <w:t>月</w:t>
      </w:r>
      <w:r>
        <w:rPr>
          <w:rStyle w:val="37"/>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sz w:val="32"/>
          <w:szCs w:val="32"/>
          <w:highlight w:val="none"/>
        </w:rPr>
        <w:t>日（法定公休日及法定节假日除外）每天</w:t>
      </w:r>
      <w:r>
        <w:rPr>
          <w:rFonts w:ascii="仿宋_GB2312" w:hAnsi="仿宋_GB2312" w:eastAsia="仿宋_GB2312" w:cs="仿宋_GB2312"/>
          <w:sz w:val="32"/>
          <w:szCs w:val="32"/>
          <w:highlight w:val="none"/>
        </w:rPr>
        <w:t>9:00</w:t>
      </w:r>
      <w:r>
        <w:rPr>
          <w:rFonts w:hint="eastAsia" w:ascii="仿宋_GB2312" w:hAnsi="仿宋_GB2312" w:eastAsia="仿宋_GB2312" w:cs="仿宋_GB2312"/>
          <w:sz w:val="32"/>
          <w:szCs w:val="32"/>
          <w:highlight w:val="none"/>
        </w:rPr>
        <w:t>—17:00，到</w:t>
      </w:r>
      <w:r>
        <w:rPr>
          <w:rFonts w:hint="eastAsia" w:ascii="仿宋_GB2312" w:hAnsi="仿宋_GB2312" w:eastAsia="仿宋_GB2312" w:cs="仿宋_GB2312"/>
          <w:sz w:val="32"/>
          <w:szCs w:val="32"/>
          <w:highlight w:val="none"/>
          <w:lang w:val="en-US" w:eastAsia="zh-CN"/>
        </w:rPr>
        <w:t>福路通资源循环（福建）有限公司</w:t>
      </w:r>
      <w:r>
        <w:rPr>
          <w:rFonts w:hint="eastAsia" w:ascii="仿宋_GB2312" w:hAnsi="仿宋_GB2312" w:eastAsia="仿宋_GB2312" w:cs="仿宋_GB2312"/>
          <w:sz w:val="32"/>
          <w:szCs w:val="32"/>
          <w:highlight w:val="none"/>
        </w:rPr>
        <w:t>（福建省福州市鼓楼区东水路18号交通运输厅26楼）领取询价采购文件</w:t>
      </w:r>
      <w:r>
        <w:rPr>
          <w:rFonts w:hint="eastAsia" w:ascii="仿宋_GB2312" w:hAnsi="仿宋_GB2312" w:eastAsia="仿宋_GB2312" w:cs="仿宋_GB2312"/>
          <w:sz w:val="32"/>
          <w:szCs w:val="32"/>
          <w:highlight w:val="none"/>
          <w:lang w:val="en-US" w:eastAsia="zh-CN"/>
        </w:rPr>
        <w:t>或自行从官网下载</w:t>
      </w:r>
      <w:r>
        <w:rPr>
          <w:rFonts w:hint="eastAsia" w:ascii="仿宋_GB2312" w:hAnsi="仿宋_GB2312" w:eastAsia="仿宋_GB2312" w:cs="仿宋_GB2312"/>
          <w:sz w:val="32"/>
          <w:szCs w:val="32"/>
          <w:highlight w:val="none"/>
        </w:rPr>
        <w:t>。</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35" w:name="_Toc4696"/>
      <w:bookmarkStart w:id="36" w:name="_Toc19478"/>
      <w:bookmarkStart w:id="37" w:name="_Toc20987"/>
      <w:bookmarkStart w:id="38" w:name="_Toc26131"/>
      <w:r>
        <w:rPr>
          <w:rFonts w:hint="eastAsia" w:ascii="仿宋_GB2312" w:hAnsi="仿宋_GB2312" w:eastAsia="仿宋_GB2312" w:cs="仿宋_GB2312"/>
          <w:b/>
          <w:sz w:val="32"/>
          <w:szCs w:val="32"/>
          <w:highlight w:val="none"/>
        </w:rPr>
        <w:t>四、响应文件递交方式及递交截止时间</w:t>
      </w:r>
      <w:bookmarkEnd w:id="35"/>
      <w:bookmarkEnd w:id="36"/>
      <w:bookmarkEnd w:id="37"/>
      <w:bookmarkEnd w:id="38"/>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bookmarkStart w:id="39" w:name="_Toc31488"/>
      <w:bookmarkStart w:id="40" w:name="_Toc6177"/>
      <w:r>
        <w:rPr>
          <w:rFonts w:hint="eastAsia" w:ascii="仿宋_GB2312" w:hAnsi="仿宋_GB2312" w:eastAsia="仿宋_GB2312" w:cs="仿宋_GB2312"/>
          <w:bCs/>
          <w:sz w:val="32"/>
          <w:szCs w:val="32"/>
          <w:highlight w:val="none"/>
        </w:rPr>
        <w:t>（一）响应文件递交方式</w:t>
      </w:r>
      <w:bookmarkEnd w:id="39"/>
      <w:bookmarkEnd w:id="40"/>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本项目可采用以下两种方式送达响应文件：</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rPr>
        <w:t>邮寄递交：供应商应在响应递交截止时间前将响应文件按照询价采购文件规定包封后快递送达福州市鼓楼区东水路18号交通综合大楼26层，采购人以签收响应文件时间确定为递交时间。</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收件信息如下：</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邮寄地址：福州市鼓楼区东水路18号交通综合大楼26层</w:t>
      </w:r>
      <w:r>
        <w:rPr>
          <w:rFonts w:hint="eastAsia" w:ascii="仿宋_GB2312" w:hAnsi="仿宋_GB2312" w:eastAsia="仿宋_GB2312" w:cs="仿宋_GB2312"/>
          <w:bCs/>
          <w:sz w:val="32"/>
          <w:szCs w:val="32"/>
          <w:highlight w:val="none"/>
          <w:lang w:val="en-US" w:eastAsia="zh-CN"/>
        </w:rPr>
        <w:t>福路通资源循环（福建）有限公司</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收件人：</w:t>
      </w:r>
      <w:r>
        <w:rPr>
          <w:rFonts w:hint="eastAsia" w:ascii="仿宋_GB2312" w:hAnsi="仿宋_GB2312" w:eastAsia="仿宋_GB2312" w:cs="仿宋_GB2312"/>
          <w:bCs/>
          <w:sz w:val="32"/>
          <w:szCs w:val="32"/>
          <w:highlight w:val="none"/>
          <w:lang w:val="en-US" w:eastAsia="zh-CN"/>
        </w:rPr>
        <w:t>阙先生</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联系电话：</w:t>
      </w:r>
      <w:r>
        <w:rPr>
          <w:rFonts w:hint="eastAsia" w:ascii="仿宋_GB2312" w:hAnsi="仿宋_GB2312" w:eastAsia="仿宋_GB2312" w:cs="仿宋_GB2312"/>
          <w:bCs/>
          <w:sz w:val="32"/>
          <w:szCs w:val="32"/>
          <w:highlight w:val="none"/>
          <w:lang w:val="en-US" w:eastAsia="zh-CN"/>
        </w:rPr>
        <w:t>0591-87077059</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highlight w:val="none"/>
        </w:rPr>
        <w:t>现场递交：供应商应在响应文件递交截止时间前由供应商法定代表人或其授权代表将纸质响应文件按照询价采购文件规定包封后递交</w:t>
      </w:r>
      <w:r>
        <w:rPr>
          <w:rFonts w:hint="eastAsia" w:ascii="仿宋_GB2312" w:hAnsi="仿宋_GB2312" w:eastAsia="仿宋_GB2312" w:cs="仿宋_GB2312"/>
          <w:sz w:val="32"/>
          <w:szCs w:val="32"/>
          <w:highlight w:val="none"/>
        </w:rPr>
        <w:t>至</w:t>
      </w:r>
      <w:bookmarkStart w:id="41" w:name="OLE_LINK1"/>
      <w:r>
        <w:rPr>
          <w:rFonts w:hint="eastAsia" w:ascii="仿宋_GB2312" w:hAnsi="仿宋_GB2312" w:eastAsia="仿宋_GB2312" w:cs="仿宋_GB2312"/>
          <w:sz w:val="32"/>
          <w:szCs w:val="32"/>
          <w:highlight w:val="none"/>
          <w:u w:val="none"/>
        </w:rPr>
        <w:t>福</w:t>
      </w:r>
      <w:r>
        <w:rPr>
          <w:rFonts w:hint="eastAsia" w:ascii="仿宋_GB2312" w:hAnsi="仿宋_GB2312" w:eastAsia="仿宋_GB2312" w:cs="仿宋_GB2312"/>
          <w:sz w:val="32"/>
          <w:szCs w:val="32"/>
          <w:highlight w:val="none"/>
        </w:rPr>
        <w:t>建省福州市鼓楼区东水路18号交通运输厅26楼</w:t>
      </w:r>
      <w:r>
        <w:rPr>
          <w:rFonts w:hint="eastAsia" w:ascii="仿宋_GB2312" w:hAnsi="仿宋_GB2312" w:eastAsia="仿宋_GB2312" w:cs="仿宋_GB2312"/>
          <w:sz w:val="32"/>
          <w:szCs w:val="32"/>
          <w:highlight w:val="none"/>
          <w:lang w:val="en-US" w:eastAsia="zh-CN"/>
        </w:rPr>
        <w:t>福路通资源循环（福建）有限公司</w:t>
      </w:r>
      <w:bookmarkEnd w:id="41"/>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出席代表需携带法人代表证明或法人授权委托书、身份证原件及盖有单位公章的上述资料复印件</w:t>
      </w:r>
      <w:r>
        <w:rPr>
          <w:rFonts w:hint="eastAsia" w:ascii="仿宋_GB2312" w:hAnsi="仿宋_GB2312" w:eastAsia="仿宋_GB2312" w:cs="仿宋_GB2312"/>
          <w:sz w:val="32"/>
          <w:szCs w:val="32"/>
          <w:highlight w:val="none"/>
        </w:rPr>
        <w:t>以供审查，未按要求提交投标文件将被拒绝。</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42" w:name="_Toc19577"/>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响应文件递交截止时间</w:t>
      </w:r>
      <w:bookmarkEnd w:id="42"/>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12</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（北京时间），逾期送达的或不符合采购文件规定的响应文件将被拒绝。</w:t>
      </w:r>
    </w:p>
    <w:p>
      <w:pPr>
        <w:keepNext w:val="0"/>
        <w:keepLines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sz w:val="32"/>
          <w:szCs w:val="32"/>
          <w:highlight w:val="none"/>
        </w:rPr>
      </w:pPr>
      <w:bookmarkStart w:id="43" w:name="_Toc5555"/>
      <w:bookmarkStart w:id="44" w:name="_Toc17721"/>
      <w:bookmarkStart w:id="45" w:name="_Toc30636"/>
      <w:bookmarkStart w:id="46" w:name="_Toc9269"/>
      <w:r>
        <w:rPr>
          <w:rFonts w:hint="eastAsia" w:ascii="仿宋_GB2312" w:hAnsi="仿宋_GB2312" w:eastAsia="仿宋_GB2312" w:cs="仿宋_GB2312"/>
          <w:b/>
          <w:sz w:val="32"/>
          <w:szCs w:val="32"/>
          <w:highlight w:val="none"/>
        </w:rPr>
        <w:t>五、开标评审时间及地点</w:t>
      </w:r>
      <w:bookmarkEnd w:id="43"/>
      <w:bookmarkEnd w:id="44"/>
      <w:bookmarkEnd w:id="45"/>
      <w:bookmarkEnd w:id="46"/>
      <w:bookmarkStart w:id="47" w:name="OLE_LINK3"/>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u w:val="single"/>
        </w:rPr>
        <w:t>2025</w:t>
      </w:r>
      <w:r>
        <w:rPr>
          <w:rFonts w:hint="eastAsia" w:ascii="仿宋_GB2312" w:hAnsi="仿宋_GB2312" w:eastAsia="仿宋_GB2312" w:cs="仿宋_GB2312"/>
          <w:sz w:val="32"/>
          <w:szCs w:val="32"/>
          <w:highlight w:val="none"/>
          <w:u w:val="single"/>
        </w:rPr>
        <w:t>年</w:t>
      </w:r>
      <w:bookmarkEnd w:id="47"/>
      <w:r>
        <w:rPr>
          <w:rFonts w:hint="eastAsia" w:ascii="仿宋_GB2312" w:hAnsi="仿宋_GB2312" w:eastAsia="仿宋_GB2312" w:cs="仿宋_GB2312"/>
          <w:sz w:val="32"/>
          <w:szCs w:val="32"/>
          <w:highlight w:val="none"/>
          <w:u w:val="single"/>
          <w:lang w:val="en-US" w:eastAsia="zh-CN"/>
        </w:rPr>
        <w:t>12</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日上午</w:t>
      </w:r>
      <w:r>
        <w:rPr>
          <w:rFonts w:ascii="仿宋_GB2312" w:hAnsi="仿宋_GB2312" w:eastAsia="仿宋_GB2312" w:cs="仿宋_GB2312"/>
          <w:sz w:val="32"/>
          <w:szCs w:val="32"/>
          <w:highlight w:val="none"/>
          <w:u w:val="single"/>
        </w:rPr>
        <w:t>9:30</w:t>
      </w:r>
      <w:r>
        <w:rPr>
          <w:rFonts w:hint="eastAsia" w:ascii="仿宋_GB2312" w:hAnsi="仿宋_GB2312" w:eastAsia="仿宋_GB2312" w:cs="仿宋_GB2312"/>
          <w:sz w:val="32"/>
          <w:szCs w:val="32"/>
          <w:highlight w:val="none"/>
        </w:rPr>
        <w:t>（北京时间），福建省福州市鼓楼区东水路18号交通运输厅26楼</w:t>
      </w:r>
      <w:r>
        <w:rPr>
          <w:rFonts w:hint="eastAsia" w:ascii="仿宋_GB2312" w:hAnsi="仿宋_GB2312" w:eastAsia="仿宋_GB2312" w:cs="仿宋_GB2312"/>
          <w:sz w:val="32"/>
          <w:szCs w:val="32"/>
          <w:highlight w:val="none"/>
          <w:lang w:val="en-US" w:eastAsia="zh-CN"/>
        </w:rPr>
        <w:t>福路通资源循环（福建）有限公司</w:t>
      </w:r>
      <w:r>
        <w:rPr>
          <w:rFonts w:hint="eastAsia" w:ascii="仿宋_GB2312" w:hAnsi="仿宋_GB2312" w:eastAsia="仿宋_GB2312" w:cs="仿宋_GB2312"/>
          <w:sz w:val="32"/>
          <w:szCs w:val="32"/>
          <w:highlight w:val="none"/>
        </w:rPr>
        <w:t>。</w:t>
      </w:r>
    </w:p>
    <w:p>
      <w:pPr>
        <w:keepNext w:val="0"/>
        <w:keepLines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六、凡对本次</w:t>
      </w:r>
      <w:r>
        <w:rPr>
          <w:rFonts w:hint="eastAsia" w:ascii="仿宋_GB2312" w:hAnsi="仿宋_GB2312" w:eastAsia="仿宋_GB2312" w:cs="仿宋_GB2312"/>
          <w:b/>
          <w:sz w:val="32"/>
          <w:szCs w:val="32"/>
          <w:highlight w:val="none"/>
          <w:lang w:val="en-US" w:eastAsia="zh-CN"/>
        </w:rPr>
        <w:t>询价</w:t>
      </w:r>
      <w:r>
        <w:rPr>
          <w:rFonts w:hint="eastAsia" w:ascii="仿宋_GB2312" w:hAnsi="仿宋_GB2312" w:eastAsia="仿宋_GB2312" w:cs="仿宋_GB2312"/>
          <w:b/>
          <w:sz w:val="32"/>
          <w:szCs w:val="32"/>
          <w:highlight w:val="none"/>
        </w:rPr>
        <w:t>提出咨询澄清或疑问，请在响应文件递交截止时间之前三日以书面形</w:t>
      </w:r>
      <w:r>
        <w:rPr>
          <w:rFonts w:hint="eastAsia" w:ascii="仿宋_GB2312" w:hAnsi="仿宋_GB2312" w:eastAsia="仿宋_GB2312" w:cs="仿宋_GB2312"/>
          <w:b/>
          <w:bCs w:val="0"/>
          <w:sz w:val="32"/>
          <w:szCs w:val="32"/>
          <w:highlight w:val="none"/>
        </w:rPr>
        <w:t>式与</w:t>
      </w:r>
      <w:r>
        <w:rPr>
          <w:rFonts w:hint="eastAsia" w:ascii="仿宋_GB2312" w:hAnsi="仿宋_GB2312" w:eastAsia="仿宋_GB2312" w:cs="仿宋_GB2312"/>
          <w:b/>
          <w:bCs w:val="0"/>
          <w:sz w:val="32"/>
          <w:szCs w:val="32"/>
          <w:highlight w:val="none"/>
          <w:lang w:val="en-US" w:eastAsia="zh-CN"/>
        </w:rPr>
        <w:t>福路通资源循环（福建）有限公司</w:t>
      </w:r>
      <w:r>
        <w:rPr>
          <w:rFonts w:hint="eastAsia" w:ascii="仿宋_GB2312" w:hAnsi="仿宋_GB2312" w:eastAsia="仿宋_GB2312" w:cs="仿宋_GB2312"/>
          <w:b/>
          <w:sz w:val="32"/>
          <w:szCs w:val="32"/>
          <w:highlight w:val="none"/>
        </w:rPr>
        <w:t>联系。</w:t>
      </w:r>
      <w:r>
        <w:rPr>
          <w:rFonts w:ascii="仿宋_GB2312" w:hAnsi="仿宋_GB2312" w:eastAsia="仿宋_GB2312" w:cs="仿宋_GB2312"/>
          <w:b/>
          <w:sz w:val="32"/>
          <w:szCs w:val="32"/>
          <w:highlight w:val="none"/>
        </w:rPr>
        <w:t xml:space="preserve"> </w:t>
      </w:r>
    </w:p>
    <w:p>
      <w:pPr>
        <w:keepNext w:val="0"/>
        <w:keepLines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w:t>
      </w:r>
      <w:r>
        <w:rPr>
          <w:rFonts w:hint="eastAsia" w:ascii="仿宋_GB2312" w:hAnsi="仿宋_GB2312" w:eastAsia="仿宋_GB2312" w:cs="仿宋_GB2312"/>
          <w:b/>
          <w:sz w:val="32"/>
          <w:szCs w:val="32"/>
          <w:highlight w:val="none"/>
          <w:lang w:val="en-US" w:eastAsia="zh-CN"/>
        </w:rPr>
        <w:t>询价</w:t>
      </w:r>
      <w:r>
        <w:rPr>
          <w:rFonts w:hint="eastAsia" w:ascii="仿宋_GB2312" w:hAnsi="仿宋_GB2312" w:eastAsia="仿宋_GB2312" w:cs="仿宋_GB2312"/>
          <w:b/>
          <w:sz w:val="32"/>
          <w:szCs w:val="32"/>
          <w:highlight w:val="none"/>
        </w:rPr>
        <w:t>文件和要求如有补充修改，采购人将通过福建省高速公路集团有限公司官网（</w:t>
      </w:r>
      <w:r>
        <w:rPr>
          <w:highlight w:val="none"/>
        </w:rPr>
        <w:fldChar w:fldCharType="begin"/>
      </w:r>
      <w:r>
        <w:rPr>
          <w:highlight w:val="none"/>
        </w:rPr>
        <w:instrText xml:space="preserve"> HYPERLINK "http://www.fjgsgl.com）自行下载,或请于2020年5月" </w:instrText>
      </w:r>
      <w:r>
        <w:rPr>
          <w:highlight w:val="none"/>
        </w:rPr>
        <w:fldChar w:fldCharType="separate"/>
      </w:r>
      <w:r>
        <w:rPr>
          <w:rFonts w:hint="eastAsia" w:ascii="仿宋_GB2312" w:hAnsi="仿宋_GB2312" w:eastAsia="仿宋_GB2312" w:cs="仿宋_GB2312"/>
          <w:b/>
          <w:sz w:val="32"/>
          <w:szCs w:val="32"/>
          <w:highlight w:val="none"/>
        </w:rPr>
        <w:t>www.fjgsgl.com）、</w:t>
      </w:r>
      <w:r>
        <w:rPr>
          <w:rFonts w:hint="eastAsia" w:ascii="仿宋_GB2312" w:hAnsi="仿宋_GB2312" w:eastAsia="仿宋_GB2312" w:cs="仿宋_GB2312"/>
          <w:b/>
          <w:sz w:val="32"/>
          <w:szCs w:val="32"/>
          <w:highlight w:val="none"/>
          <w:lang w:val="en-US" w:eastAsia="zh-CN"/>
        </w:rPr>
        <w:t>中国</w:t>
      </w:r>
      <w:r>
        <w:rPr>
          <w:rFonts w:hint="eastAsia" w:ascii="仿宋_GB2312" w:hAnsi="仿宋_GB2312" w:eastAsia="仿宋_GB2312" w:cs="仿宋_GB2312"/>
          <w:b/>
          <w:sz w:val="32"/>
          <w:szCs w:val="32"/>
          <w:highlight w:val="none"/>
        </w:rPr>
        <w:t>采购与招标网（http://www.chinabidding.com.cn/)、福建高速集采平台（https://gsjc.fjetc.com/)</w:t>
      </w:r>
      <w:r>
        <w:rPr>
          <w:rFonts w:hint="eastAsia" w:ascii="仿宋_GB2312" w:hAnsi="仿宋_GB2312" w:eastAsia="仿宋_GB2312" w:cs="仿宋_GB2312"/>
          <w:b/>
          <w:sz w:val="32"/>
          <w:szCs w:val="32"/>
          <w:highlight w:val="none"/>
        </w:rPr>
        <w:fldChar w:fldCharType="end"/>
      </w:r>
      <w:r>
        <w:rPr>
          <w:rFonts w:hint="eastAsia" w:ascii="仿宋_GB2312" w:hAnsi="仿宋_GB2312" w:eastAsia="仿宋_GB2312" w:cs="仿宋_GB2312"/>
          <w:b/>
          <w:sz w:val="32"/>
          <w:szCs w:val="32"/>
          <w:highlight w:val="none"/>
        </w:rPr>
        <w:t>通知，请供应商自行关注。</w:t>
      </w:r>
    </w:p>
    <w:p>
      <w:pPr>
        <w:keepNext w:val="0"/>
        <w:keepLines w:val="0"/>
        <w:widowControl w:val="0"/>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sz w:val="32"/>
          <w:szCs w:val="32"/>
          <w:highlight w:val="none"/>
        </w:rPr>
      </w:pPr>
      <w:bookmarkStart w:id="48" w:name="_Toc17450"/>
      <w:bookmarkStart w:id="49" w:name="_Toc31861"/>
      <w:bookmarkStart w:id="50" w:name="_Toc1155"/>
      <w:bookmarkStart w:id="51" w:name="_Toc30926"/>
      <w:r>
        <w:rPr>
          <w:rFonts w:hint="eastAsia" w:ascii="仿宋_GB2312" w:hAnsi="仿宋_GB2312" w:eastAsia="仿宋_GB2312" w:cs="仿宋_GB2312"/>
          <w:b/>
          <w:sz w:val="32"/>
          <w:szCs w:val="32"/>
          <w:highlight w:val="none"/>
        </w:rPr>
        <w:t>八、评审办法</w:t>
      </w:r>
      <w:bookmarkEnd w:id="48"/>
      <w:bookmarkEnd w:id="49"/>
      <w:bookmarkEnd w:id="50"/>
      <w:bookmarkEnd w:id="51"/>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highlight w:val="none"/>
        </w:rPr>
      </w:pPr>
      <w:bookmarkStart w:id="52" w:name="OLE_LINK19"/>
      <w:r>
        <w:rPr>
          <w:rFonts w:hint="eastAsia" w:ascii="仿宋_GB2312" w:hAnsi="仿宋_GB2312" w:eastAsia="仿宋_GB2312" w:cs="仿宋_GB2312"/>
          <w:b/>
          <w:bCs w:val="0"/>
          <w:sz w:val="32"/>
          <w:szCs w:val="32"/>
          <w:highlight w:val="none"/>
          <w:lang w:val="en-US" w:eastAsia="zh-CN"/>
        </w:rPr>
        <w:t>评审</w:t>
      </w:r>
      <w:r>
        <w:rPr>
          <w:rFonts w:hint="eastAsia" w:ascii="仿宋_GB2312" w:hAnsi="仿宋_GB2312" w:eastAsia="仿宋_GB2312" w:cs="仿宋_GB2312"/>
          <w:b/>
          <w:bCs w:val="0"/>
          <w:sz w:val="32"/>
          <w:szCs w:val="32"/>
          <w:highlight w:val="none"/>
        </w:rPr>
        <w:t>采用</w:t>
      </w:r>
      <w:r>
        <w:rPr>
          <w:rFonts w:hint="eastAsia" w:ascii="仿宋_GB2312" w:hAnsi="仿宋_GB2312" w:eastAsia="仿宋_GB2312" w:cs="仿宋_GB2312"/>
          <w:b/>
          <w:bCs w:val="0"/>
          <w:sz w:val="32"/>
          <w:szCs w:val="32"/>
          <w:highlight w:val="none"/>
          <w:lang w:val="en-US" w:eastAsia="zh-CN"/>
        </w:rPr>
        <w:t>最低价评分法</w:t>
      </w:r>
      <w:bookmarkEnd w:id="52"/>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Cs/>
          <w:sz w:val="32"/>
          <w:szCs w:val="32"/>
          <w:highlight w:val="none"/>
        </w:rPr>
        <w:t>具体详见</w:t>
      </w:r>
      <w:r>
        <w:rPr>
          <w:rFonts w:hint="eastAsia" w:ascii="仿宋_GB2312" w:hAnsi="仿宋_GB2312" w:eastAsia="仿宋_GB2312" w:cs="仿宋_GB2312"/>
          <w:bCs/>
          <w:sz w:val="32"/>
          <w:szCs w:val="32"/>
          <w:highlight w:val="none"/>
          <w:lang w:val="en-US" w:eastAsia="zh-CN"/>
        </w:rPr>
        <w:t>询</w:t>
      </w:r>
      <w:r>
        <w:rPr>
          <w:rFonts w:hint="eastAsia" w:ascii="仿宋_GB2312" w:hAnsi="仿宋_GB2312" w:eastAsia="仿宋_GB2312" w:cs="仿宋_GB2312"/>
          <w:bCs/>
          <w:sz w:val="32"/>
          <w:szCs w:val="32"/>
          <w:highlight w:val="none"/>
        </w:rPr>
        <w:t>价文件。</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采购人：</w:t>
      </w:r>
      <w:r>
        <w:rPr>
          <w:rFonts w:hint="eastAsia" w:ascii="仿宋_GB2312" w:hAnsi="仿宋_GB2312" w:eastAsia="仿宋_GB2312" w:cs="仿宋_GB2312"/>
          <w:sz w:val="32"/>
          <w:szCs w:val="32"/>
          <w:highlight w:val="none"/>
          <w:lang w:val="en-US" w:eastAsia="zh-CN"/>
        </w:rPr>
        <w:t>福路通资源循环（福建）有限公司</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地址：福建省福州市鼓楼区东水路18号交通运输厅26楼福</w:t>
      </w:r>
      <w:r>
        <w:rPr>
          <w:rFonts w:hint="eastAsia" w:ascii="仿宋_GB2312" w:hAnsi="仿宋_GB2312" w:eastAsia="仿宋_GB2312" w:cs="仿宋_GB2312"/>
          <w:sz w:val="32"/>
          <w:szCs w:val="32"/>
          <w:highlight w:val="none"/>
          <w:lang w:val="en-US" w:eastAsia="zh-CN"/>
        </w:rPr>
        <w:t>福路通资源循环（福建）有限公司</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阙先生</w:t>
      </w:r>
    </w:p>
    <w:p>
      <w:pPr>
        <w:keepNext w:val="0"/>
        <w:keepLines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0591-87077059</w:t>
      </w:r>
    </w:p>
    <w:p>
      <w:pPr>
        <w:pStyle w:val="95"/>
        <w:keepNext w:val="0"/>
        <w:keepLines w:val="0"/>
        <w:widowControl w:val="0"/>
        <w:kinsoku/>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rPr>
        <w:t>保证金汇入账号：</w:t>
      </w:r>
      <w:r>
        <w:rPr>
          <w:rFonts w:hint="eastAsia" w:ascii="仿宋_GB2312" w:hAnsi="仿宋_GB2312" w:eastAsia="仿宋_GB2312" w:cs="仿宋_GB2312"/>
          <w:sz w:val="32"/>
          <w:szCs w:val="32"/>
          <w:highlight w:val="none"/>
          <w:lang w:val="en-US" w:eastAsia="zh-CN"/>
        </w:rPr>
        <w:t>117130100171111113</w:t>
      </w:r>
    </w:p>
    <w:p>
      <w:pPr>
        <w:pStyle w:val="95"/>
        <w:keepNext w:val="0"/>
        <w:keepLines w:val="0"/>
        <w:widowControl w:val="0"/>
        <w:kinsoku/>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户名：</w:t>
      </w:r>
      <w:r>
        <w:rPr>
          <w:rFonts w:hint="eastAsia" w:ascii="仿宋_GB2312" w:hAnsi="仿宋_GB2312" w:eastAsia="仿宋_GB2312" w:cs="仿宋_GB2312"/>
          <w:sz w:val="32"/>
          <w:szCs w:val="32"/>
          <w:highlight w:val="none"/>
          <w:lang w:val="en-US" w:eastAsia="zh-CN"/>
        </w:rPr>
        <w:t>福路通资源循环（福建）有限公司</w:t>
      </w:r>
    </w:p>
    <w:p>
      <w:pPr>
        <w:pStyle w:val="95"/>
        <w:keepNext w:val="0"/>
        <w:keepLines w:val="0"/>
        <w:widowControl w:val="0"/>
        <w:kinsoku/>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开户行：</w:t>
      </w:r>
      <w:r>
        <w:rPr>
          <w:rFonts w:hint="eastAsia" w:ascii="仿宋_GB2312" w:hAnsi="仿宋_GB2312" w:eastAsia="仿宋_GB2312" w:cs="仿宋_GB2312"/>
          <w:sz w:val="32"/>
          <w:szCs w:val="32"/>
          <w:highlight w:val="none"/>
          <w:lang w:val="en-US" w:eastAsia="zh-CN"/>
        </w:rPr>
        <w:t>兴业银行股份有限公司福州华林支行</w:t>
      </w:r>
    </w:p>
    <w:p>
      <w:pPr>
        <w:pStyle w:val="95"/>
        <w:keepNext w:val="0"/>
        <w:keepLines w:val="0"/>
        <w:widowControl w:val="0"/>
        <w:kinsoku/>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账号：</w:t>
      </w:r>
      <w:r>
        <w:rPr>
          <w:rFonts w:hint="eastAsia" w:ascii="仿宋_GB2312" w:hAnsi="仿宋_GB2312" w:eastAsia="仿宋_GB2312" w:cs="仿宋_GB2312"/>
          <w:sz w:val="32"/>
          <w:szCs w:val="32"/>
          <w:highlight w:val="none"/>
          <w:lang w:val="en-US" w:eastAsia="zh-CN"/>
        </w:rPr>
        <w:t>117130100171111113</w:t>
      </w:r>
    </w:p>
    <w:p>
      <w:pPr>
        <w:pStyle w:val="95"/>
        <w:keepNext w:val="0"/>
        <w:keepLines w:val="0"/>
        <w:widowControl w:val="0"/>
        <w:kinsoku/>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注明用途：</w:t>
      </w:r>
      <w:bookmarkStart w:id="53" w:name="OLE_LINK18"/>
      <w:r>
        <w:rPr>
          <w:rFonts w:hint="eastAsia" w:ascii="仿宋_GB2312" w:hAnsi="仿宋_GB2312" w:eastAsia="仿宋_GB2312" w:cs="仿宋_GB2312"/>
          <w:sz w:val="32"/>
          <w:szCs w:val="32"/>
          <w:highlight w:val="none"/>
          <w:lang w:val="en-US" w:eastAsia="zh-CN"/>
        </w:rPr>
        <w:t>活动护栏拼装服务项目</w:t>
      </w:r>
      <w:r>
        <w:rPr>
          <w:rFonts w:hint="eastAsia" w:ascii="仿宋_GB2312" w:hAnsi="仿宋_GB2312" w:eastAsia="仿宋_GB2312" w:cs="仿宋_GB2312"/>
          <w:sz w:val="32"/>
          <w:szCs w:val="32"/>
          <w:highlight w:val="none"/>
          <w:lang w:val="en-US"/>
        </w:rPr>
        <w:t>保证金</w:t>
      </w:r>
    </w:p>
    <w:bookmarkEnd w:id="53"/>
    <w:p>
      <w:pPr>
        <w:pStyle w:val="95"/>
        <w:keepNext w:val="0"/>
        <w:keepLines w:val="0"/>
        <w:widowControl w:val="0"/>
        <w:kinsoku/>
        <w:overflowPunct/>
        <w:topLinePunct w:val="0"/>
        <w:autoSpaceDE/>
        <w:autoSpaceDN/>
        <w:bidi w:val="0"/>
        <w:adjustRightInd/>
        <w:snapToGrid/>
        <w:spacing w:line="560" w:lineRule="exact"/>
        <w:ind w:left="0" w:leftChars="0" w:firstLine="0" w:firstLineChars="0"/>
        <w:textAlignment w:val="auto"/>
        <w:rPr>
          <w:rFonts w:ascii="仿宋_GB2312" w:hAnsi="仿宋_GB2312" w:eastAsia="仿宋_GB2312" w:cs="仿宋_GB2312"/>
          <w:sz w:val="32"/>
          <w:szCs w:val="32"/>
          <w:highlight w:val="none"/>
          <w:lang w:val="en-US"/>
        </w:rPr>
      </w:pPr>
    </w:p>
    <w:bookmarkEnd w:id="21"/>
    <w:bookmarkEnd w:id="22"/>
    <w:bookmarkEnd w:id="23"/>
    <w:p>
      <w:pPr>
        <w:keepNext w:val="0"/>
        <w:keepLines w:val="0"/>
        <w:widowControl w:val="0"/>
        <w:kinsoku/>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福路通资源循环（福建）有限公司</w:t>
      </w:r>
    </w:p>
    <w:p>
      <w:pPr>
        <w:keepNext w:val="0"/>
        <w:keepLines w:val="0"/>
        <w:widowControl w:val="0"/>
        <w:kinsoku/>
        <w:overflowPunct/>
        <w:topLinePunct w:val="0"/>
        <w:autoSpaceDE/>
        <w:autoSpaceDN/>
        <w:bidi w:val="0"/>
        <w:adjustRightInd/>
        <w:snapToGrid/>
        <w:spacing w:line="560" w:lineRule="exact"/>
        <w:ind w:firstLine="5280" w:firstLineChars="1650"/>
        <w:textAlignment w:val="auto"/>
        <w:rPr>
          <w:rFonts w:ascii="仿宋_GB2312" w:eastAsia="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w:t>
      </w:r>
      <w:r>
        <w:rPr>
          <w:rFonts w:hint="eastAsia" w:ascii="仿宋_GB2312" w:eastAsia="仿宋_GB2312"/>
          <w:sz w:val="32"/>
          <w:szCs w:val="32"/>
          <w:highlight w:val="none"/>
        </w:rPr>
        <w:t xml:space="preserve">    </w:t>
      </w:r>
    </w:p>
    <w:p>
      <w:pPr>
        <w:keepNext w:val="0"/>
        <w:keepLines w:val="0"/>
        <w:pageBreakBefore/>
        <w:kinsoku/>
        <w:wordWrap/>
        <w:overflowPunct/>
        <w:topLinePunct w:val="0"/>
        <w:autoSpaceDE/>
        <w:autoSpaceDN/>
        <w:bidi w:val="0"/>
        <w:adjustRightInd/>
        <w:spacing w:line="560" w:lineRule="exact"/>
        <w:jc w:val="center"/>
        <w:outlineLvl w:val="0"/>
        <w:rPr>
          <w:rFonts w:hint="eastAsia" w:ascii="黑体" w:hAnsi="黑体" w:eastAsia="黑体" w:cs="黑体"/>
          <w:sz w:val="44"/>
          <w:szCs w:val="44"/>
          <w:highlight w:val="none"/>
        </w:rPr>
      </w:pPr>
      <w:bookmarkStart w:id="54" w:name="_Toc7808"/>
      <w:bookmarkStart w:id="55" w:name="_Toc16809"/>
      <w:bookmarkStart w:id="56" w:name="_Toc6301"/>
      <w:bookmarkStart w:id="57" w:name="_Toc22393"/>
      <w:bookmarkStart w:id="58" w:name="_Toc32672"/>
      <w:bookmarkStart w:id="59" w:name="_Toc7871"/>
      <w:bookmarkStart w:id="60" w:name="_Toc19625"/>
      <w:bookmarkStart w:id="61" w:name="_Toc19464"/>
      <w:bookmarkStart w:id="62" w:name="_Toc21829"/>
      <w:bookmarkStart w:id="63" w:name="_Toc25255"/>
      <w:bookmarkStart w:id="64" w:name="_Toc15048"/>
      <w:r>
        <w:rPr>
          <w:rFonts w:hint="eastAsia" w:ascii="黑体" w:hAnsi="黑体" w:eastAsia="黑体" w:cs="黑体"/>
          <w:sz w:val="44"/>
          <w:szCs w:val="44"/>
          <w:highlight w:val="none"/>
        </w:rPr>
        <w:t>第二篇  项目采购规格、最高限价及质量要求</w:t>
      </w:r>
      <w:bookmarkEnd w:id="54"/>
      <w:bookmarkEnd w:id="55"/>
      <w:bookmarkEnd w:id="56"/>
      <w:bookmarkEnd w:id="57"/>
      <w:bookmarkEnd w:id="58"/>
      <w:bookmarkEnd w:id="59"/>
      <w:bookmarkEnd w:id="60"/>
      <w:bookmarkEnd w:id="61"/>
      <w:bookmarkEnd w:id="62"/>
      <w:bookmarkEnd w:id="63"/>
      <w:bookmarkEnd w:id="64"/>
    </w:p>
    <w:p>
      <w:pPr>
        <w:keepNext w:val="0"/>
        <w:keepLines w:val="0"/>
        <w:kinsoku/>
        <w:wordWrap/>
        <w:overflowPunct/>
        <w:topLinePunct w:val="0"/>
        <w:autoSpaceDE/>
        <w:autoSpaceDN/>
        <w:bidi w:val="0"/>
        <w:adjustRightInd/>
        <w:spacing w:line="560" w:lineRule="exact"/>
        <w:rPr>
          <w:rFonts w:ascii="仿宋_GB2312" w:eastAsia="仿宋_GB2312"/>
          <w:b/>
          <w:sz w:val="32"/>
          <w:szCs w:val="32"/>
          <w:highlight w:val="none"/>
        </w:rPr>
      </w:pPr>
    </w:p>
    <w:p>
      <w:pPr>
        <w:keepNext w:val="0"/>
        <w:keepLines w:val="0"/>
        <w:kinsoku/>
        <w:wordWrap/>
        <w:overflowPunct/>
        <w:topLinePunct w:val="0"/>
        <w:autoSpaceDE/>
        <w:autoSpaceDN/>
        <w:bidi w:val="0"/>
        <w:adjustRightInd/>
        <w:spacing w:line="560" w:lineRule="exact"/>
        <w:ind w:firstLine="640" w:firstLineChars="200"/>
        <w:outlineLvl w:val="1"/>
        <w:rPr>
          <w:rFonts w:ascii="仿宋_GB2312" w:hAnsi="仿宋_GB2312" w:eastAsia="仿宋_GB2312" w:cs="仿宋_GB2312"/>
          <w:b/>
          <w:sz w:val="32"/>
          <w:szCs w:val="32"/>
          <w:highlight w:val="none"/>
        </w:rPr>
      </w:pPr>
      <w:bookmarkStart w:id="65" w:name="_Toc2381"/>
      <w:bookmarkStart w:id="66" w:name="_Toc8437"/>
      <w:bookmarkStart w:id="67" w:name="_Toc4552"/>
      <w:bookmarkStart w:id="68" w:name="_Toc6334"/>
      <w:bookmarkStart w:id="69" w:name="_Toc13610"/>
      <w:bookmarkStart w:id="70" w:name="_Toc4491"/>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sz w:val="32"/>
          <w:szCs w:val="32"/>
          <w:highlight w:val="none"/>
          <w:lang w:val="en-US" w:eastAsia="zh-CN"/>
        </w:rPr>
        <w:t>安装</w:t>
      </w:r>
      <w:r>
        <w:rPr>
          <w:rFonts w:hint="eastAsia" w:ascii="仿宋_GB2312" w:hAnsi="仿宋_GB2312" w:eastAsia="仿宋_GB2312" w:cs="仿宋_GB2312"/>
          <w:b/>
          <w:sz w:val="32"/>
          <w:szCs w:val="32"/>
          <w:highlight w:val="none"/>
        </w:rPr>
        <w:t>产品规格、最高限价</w:t>
      </w:r>
      <w:bookmarkEnd w:id="65"/>
      <w:bookmarkEnd w:id="66"/>
      <w:bookmarkEnd w:id="67"/>
      <w:bookmarkEnd w:id="68"/>
      <w:bookmarkEnd w:id="69"/>
      <w:bookmarkEnd w:id="70"/>
    </w:p>
    <w:tbl>
      <w:tblPr>
        <w:tblStyle w:val="31"/>
        <w:tblW w:w="9249" w:type="dxa"/>
        <w:jc w:val="center"/>
        <w:tblLayout w:type="fixed"/>
        <w:tblCellMar>
          <w:top w:w="0" w:type="dxa"/>
          <w:left w:w="108" w:type="dxa"/>
          <w:bottom w:w="0" w:type="dxa"/>
          <w:right w:w="108" w:type="dxa"/>
        </w:tblCellMar>
      </w:tblPr>
      <w:tblGrid>
        <w:gridCol w:w="1554"/>
        <w:gridCol w:w="2025"/>
        <w:gridCol w:w="1134"/>
        <w:gridCol w:w="1134"/>
        <w:gridCol w:w="1701"/>
        <w:gridCol w:w="1701"/>
      </w:tblGrid>
      <w:tr>
        <w:tblPrEx>
          <w:tblCellMar>
            <w:top w:w="0" w:type="dxa"/>
            <w:left w:w="108" w:type="dxa"/>
            <w:bottom w:w="0" w:type="dxa"/>
            <w:right w:w="108" w:type="dxa"/>
          </w:tblCellMar>
        </w:tblPrEx>
        <w:trPr>
          <w:trHeight w:val="567" w:hRule="atLeast"/>
          <w:jc w:val="center"/>
        </w:trPr>
        <w:tc>
          <w:tcPr>
            <w:tcW w:w="3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bidi="ar"/>
              </w:rPr>
              <w:t>产品类型</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val="en-US" w:eastAsia="zh-CN"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最高限价</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单价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元/米</w:t>
            </w:r>
            <w:r>
              <w:rPr>
                <w:rFonts w:hint="eastAsia" w:ascii="仿宋_GB2312" w:hAnsi="仿宋_GB2312" w:eastAsia="仿宋_GB2312" w:cs="仿宋_GB2312"/>
                <w:color w:val="000000"/>
                <w:sz w:val="32"/>
                <w:szCs w:val="32"/>
                <w:highlight w:val="none"/>
                <w:lang w:eastAsia="zh-CN"/>
              </w:rPr>
              <w: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最高限价</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合计金额</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（元）</w:t>
            </w:r>
          </w:p>
        </w:tc>
      </w:tr>
      <w:tr>
        <w:tblPrEx>
          <w:tblCellMar>
            <w:top w:w="0" w:type="dxa"/>
            <w:left w:w="108" w:type="dxa"/>
            <w:bottom w:w="0" w:type="dxa"/>
            <w:right w:w="108" w:type="dxa"/>
          </w:tblCellMar>
        </w:tblPrEx>
        <w:trPr>
          <w:trHeight w:val="567" w:hRule="atLeast"/>
          <w:jc w:val="center"/>
        </w:trPr>
        <w:tc>
          <w:tcPr>
            <w:tcW w:w="3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32"/>
                <w:szCs w:val="32"/>
                <w:highlight w:val="none"/>
                <w:lang w:bidi="ar"/>
              </w:rPr>
            </w:pPr>
            <w:r>
              <w:rPr>
                <w:rFonts w:hint="eastAsia" w:ascii="仿宋_GB2312" w:hAnsi="仿宋_GB2312" w:eastAsia="仿宋_GB2312" w:cs="仿宋_GB2312"/>
                <w:color w:val="000000"/>
                <w:kern w:val="0"/>
                <w:sz w:val="32"/>
                <w:szCs w:val="32"/>
                <w:highlight w:val="none"/>
                <w:lang w:val="en-US" w:eastAsia="zh-CN" w:bidi="ar"/>
              </w:rPr>
              <w:t>旋转桶式活动护栏的拼装及配送劳务服务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highlight w:val="none"/>
              </w:rPr>
            </w:pPr>
            <w:r>
              <w:rPr>
                <w:rFonts w:hint="eastAsia" w:ascii="仿宋_GB2312" w:hAnsi="仿宋_GB2312" w:eastAsia="仿宋_GB2312" w:cs="仿宋_GB2312"/>
                <w:i w:val="0"/>
                <w:iCs w:val="0"/>
                <w:color w:val="000000" w:themeColor="text1"/>
                <w:sz w:val="32"/>
                <w:szCs w:val="32"/>
                <w:highlight w:val="none"/>
                <w:u w:val="none"/>
                <w:lang w:val="en-US" w:eastAsia="zh-CN"/>
                <w14:textFill>
                  <w14:solidFill>
                    <w14:schemeClr w14:val="tx1"/>
                  </w14:solidFill>
                </w14:textFill>
              </w:rPr>
              <w:t>米</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6000</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55</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highlight w:val="none"/>
                <w:lang w:val="en-US" w:eastAsia="zh-CN"/>
              </w:rPr>
            </w:pPr>
            <w:r>
              <w:rPr>
                <w:rFonts w:hint="eastAsia" w:ascii="仿宋_GB2312" w:hAnsi="仿宋_GB2312" w:eastAsia="仿宋_GB2312" w:cs="仿宋_GB2312"/>
                <w:color w:val="000000"/>
                <w:sz w:val="32"/>
                <w:szCs w:val="32"/>
                <w:highlight w:val="none"/>
                <w:lang w:val="en-US" w:eastAsia="zh-CN"/>
              </w:rPr>
              <w:t>330000</w:t>
            </w:r>
          </w:p>
        </w:tc>
      </w:tr>
      <w:tr>
        <w:tblPrEx>
          <w:tblCellMar>
            <w:top w:w="0" w:type="dxa"/>
            <w:left w:w="108" w:type="dxa"/>
            <w:bottom w:w="0" w:type="dxa"/>
            <w:right w:w="108" w:type="dxa"/>
          </w:tblCellMar>
        </w:tblPrEx>
        <w:trPr>
          <w:trHeight w:val="1134" w:hRule="atLeast"/>
          <w:jc w:val="center"/>
        </w:trPr>
        <w:tc>
          <w:tcPr>
            <w:tcW w:w="15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最高限价</w:t>
            </w:r>
          </w:p>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bidi="ar"/>
              </w:rPr>
              <w:t>合计</w:t>
            </w:r>
          </w:p>
        </w:tc>
        <w:tc>
          <w:tcPr>
            <w:tcW w:w="59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含从宁德古田配送到各个站点的运费、装卸费</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330000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bCs/>
          <w:sz w:val="32"/>
          <w:szCs w:val="32"/>
          <w:highlight w:val="none"/>
        </w:rPr>
        <w:t>注：</w:t>
      </w:r>
      <w:r>
        <w:rPr>
          <w:rFonts w:hint="eastAsia" w:ascii="仿宋_GB2312" w:hAnsi="仿宋_GB2312" w:eastAsia="仿宋_GB2312" w:cs="仿宋_GB2312"/>
          <w:bCs/>
          <w:sz w:val="32"/>
          <w:szCs w:val="32"/>
          <w:highlight w:val="none"/>
          <w:lang w:val="en-US" w:eastAsia="zh-CN"/>
        </w:rPr>
        <w:t>1.组织人员到古田工厂拼装活动护栏，</w:t>
      </w:r>
      <w:r>
        <w:rPr>
          <w:rFonts w:hint="eastAsia" w:ascii="仿宋_GB2312" w:hAnsi="仿宋_GB2312" w:eastAsia="仿宋_GB2312" w:cs="仿宋_GB2312"/>
          <w:bCs/>
          <w:sz w:val="32"/>
          <w:szCs w:val="32"/>
          <w:highlight w:val="none"/>
        </w:rPr>
        <w:t>费用应包括人工费、食宿费、高速通行费、燃油费、车辆机械设备维修费、</w:t>
      </w: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从宁德古田配送到各个站点的运费、装卸费、</w:t>
      </w:r>
      <w:r>
        <w:rPr>
          <w:rFonts w:hint="eastAsia" w:ascii="仿宋_GB2312" w:hAnsi="仿宋_GB2312" w:eastAsia="仿宋_GB2312" w:cs="仿宋_GB2312"/>
          <w:bCs/>
          <w:sz w:val="32"/>
          <w:szCs w:val="32"/>
          <w:highlight w:val="none"/>
        </w:rPr>
        <w:t>增值税专用发票税费等为完成工作所发生的相关费用，本项目为单价合同，施工细目结算数量以实际完成合格数量为准。</w:t>
      </w:r>
      <w:r>
        <w:rPr>
          <w:rFonts w:hint="eastAsia" w:ascii="仿宋_GB2312" w:hAnsi="仿宋_GB2312" w:eastAsia="仿宋_GB2312" w:cs="仿宋_GB2312"/>
          <w:color w:val="000000"/>
          <w:kern w:val="2"/>
          <w:sz w:val="32"/>
          <w:szCs w:val="32"/>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仿宋_GB2312" w:hAnsi="仿宋_GB2312" w:eastAsia="仿宋_GB2312" w:cs="仿宋_GB2312"/>
          <w:color w:val="000000"/>
          <w:kern w:val="2"/>
          <w:sz w:val="32"/>
          <w:szCs w:val="32"/>
          <w:highlight w:val="none"/>
          <w:lang w:val="en-US" w:eastAsia="zh-CN" w:bidi="ar-SA"/>
        </w:rPr>
        <w:t>2.</w:t>
      </w:r>
      <w:r>
        <w:rPr>
          <w:rFonts w:hint="eastAsia" w:ascii="仿宋_GB2312" w:hAnsi="仿宋_GB2312" w:eastAsia="仿宋_GB2312" w:cs="仿宋_GB2312"/>
          <w:b w:val="0"/>
          <w:bCs w:val="0"/>
          <w:i w:val="0"/>
          <w:iCs w:val="0"/>
          <w:color w:val="000000" w:themeColor="text1"/>
          <w:kern w:val="0"/>
          <w:sz w:val="32"/>
          <w:szCs w:val="32"/>
          <w:highlight w:val="none"/>
          <w:u w:val="none"/>
          <w:lang w:val="en-US" w:eastAsia="zh-CN" w:bidi="ar"/>
          <w14:textFill>
            <w14:solidFill>
              <w14:schemeClr w14:val="tx1"/>
            </w14:solidFill>
          </w14:textFill>
        </w:rPr>
        <w:t>总报价及单项报价超过本项目安装服务总控制费用的按作废处理。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b/>
          <w:sz w:val="32"/>
          <w:szCs w:val="32"/>
          <w:highlight w:val="none"/>
        </w:rPr>
      </w:pPr>
      <w:bookmarkStart w:id="71" w:name="_Toc27355"/>
      <w:bookmarkStart w:id="72" w:name="_Toc23419"/>
      <w:bookmarkStart w:id="73" w:name="_Toc30536"/>
      <w:bookmarkStart w:id="74" w:name="_Toc19709"/>
      <w:bookmarkStart w:id="75" w:name="_Toc6780"/>
      <w:bookmarkStart w:id="76" w:name="_Toc24133"/>
      <w:r>
        <w:rPr>
          <w:rFonts w:hint="eastAsia" w:ascii="仿宋_GB2312" w:hAnsi="仿宋_GB2312" w:eastAsia="仿宋_GB2312" w:cs="仿宋_GB2312"/>
          <w:b/>
          <w:sz w:val="32"/>
          <w:szCs w:val="32"/>
          <w:highlight w:val="none"/>
        </w:rPr>
        <w:t>二、</w:t>
      </w:r>
      <w:bookmarkEnd w:id="71"/>
      <w:bookmarkEnd w:id="72"/>
      <w:bookmarkEnd w:id="73"/>
      <w:bookmarkEnd w:id="74"/>
      <w:bookmarkEnd w:id="75"/>
      <w:bookmarkEnd w:id="76"/>
      <w:r>
        <w:rPr>
          <w:rFonts w:hint="eastAsia" w:ascii="仿宋_GB2312" w:hAnsi="仿宋_GB2312" w:eastAsia="仿宋_GB2312" w:cs="仿宋_GB2312"/>
          <w:b/>
          <w:sz w:val="32"/>
          <w:szCs w:val="32"/>
          <w:highlight w:val="none"/>
        </w:rPr>
        <w:t>施工协作要求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施工</w:t>
      </w:r>
      <w:r>
        <w:rPr>
          <w:rFonts w:hint="eastAsia" w:ascii="仿宋_GB2312" w:hAnsi="仿宋_GB2312" w:eastAsia="仿宋_GB2312" w:cs="仿宋_GB2312"/>
          <w:color w:val="000000"/>
          <w:kern w:val="2"/>
          <w:sz w:val="32"/>
          <w:szCs w:val="32"/>
          <w:highlight w:val="none"/>
          <w:lang w:val="en-US" w:eastAsia="zh-CN" w:bidi="ar-SA"/>
        </w:rPr>
        <w:t>主要内容包括：</w:t>
      </w:r>
      <w:bookmarkStart w:id="77" w:name="OLE_LINK22"/>
      <w:r>
        <w:rPr>
          <w:rFonts w:hint="eastAsia" w:ascii="仿宋_GB2312" w:hAnsi="仿宋_GB2312" w:eastAsia="仿宋_GB2312" w:cs="仿宋_GB2312"/>
          <w:color w:val="000000"/>
          <w:kern w:val="2"/>
          <w:sz w:val="32"/>
          <w:szCs w:val="32"/>
          <w:highlight w:val="none"/>
          <w:lang w:val="en-US" w:eastAsia="zh-CN" w:bidi="ar-SA"/>
        </w:rPr>
        <w:t>中央分隔带开口旋转桶式活动护栏的拼装及配送、并根据设计图纸拼装完成。</w:t>
      </w:r>
    </w:p>
    <w:bookmarkEnd w:id="7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bookmarkStart w:id="78" w:name="OLE_LINK9"/>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lang w:eastAsia="zh-CN"/>
        </w:rPr>
        <w:t>）</w:t>
      </w:r>
      <w:bookmarkEnd w:id="78"/>
      <w:r>
        <w:rPr>
          <w:rFonts w:hint="eastAsia" w:ascii="仿宋_GB2312" w:hAnsi="仿宋_GB2312" w:eastAsia="仿宋_GB2312" w:cs="仿宋_GB2312"/>
          <w:color w:val="000000"/>
          <w:sz w:val="32"/>
          <w:szCs w:val="32"/>
          <w:highlight w:val="none"/>
        </w:rPr>
        <w:t>中选人必须在合同签订前为所有投入人员办理个人不少于1</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0万的人身意外保险并</w:t>
      </w:r>
      <w:r>
        <w:rPr>
          <w:rFonts w:hint="eastAsia" w:ascii="仿宋_GB2312" w:hAnsi="仿宋_GB2312" w:eastAsia="仿宋_GB2312" w:cs="仿宋_GB2312"/>
          <w:color w:val="000000"/>
          <w:sz w:val="32"/>
          <w:szCs w:val="32"/>
          <w:highlight w:val="none"/>
          <w:lang w:val="en-US" w:eastAsia="zh-CN"/>
        </w:rPr>
        <w:t>将相关材料报</w:t>
      </w:r>
      <w:r>
        <w:rPr>
          <w:rFonts w:hint="eastAsia" w:ascii="仿宋_GB2312" w:hAnsi="仿宋_GB2312" w:eastAsia="仿宋_GB2312" w:cs="仿宋_GB2312"/>
          <w:color w:val="000000"/>
          <w:sz w:val="32"/>
          <w:szCs w:val="32"/>
          <w:highlight w:val="none"/>
        </w:rPr>
        <w:t>我司备案。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bookmarkStart w:id="79" w:name="OLE_LINK10"/>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lang w:eastAsia="zh-CN"/>
        </w:rPr>
        <w:t>）</w:t>
      </w:r>
      <w:bookmarkEnd w:id="79"/>
      <w:r>
        <w:rPr>
          <w:rFonts w:hint="eastAsia" w:ascii="仿宋_GB2312" w:hAnsi="仿宋_GB2312" w:eastAsia="仿宋_GB2312" w:cs="仿宋_GB2312"/>
          <w:color w:val="000000"/>
          <w:sz w:val="32"/>
          <w:szCs w:val="32"/>
          <w:highlight w:val="none"/>
        </w:rPr>
        <w:t>提供性能良好的机械设备，安排专业技术能力较强的人员作为现场负责人，组织有经验的、有质量、安全意识的施工人员进场。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协作单位自备相关安全设备，包括但不局限于安全帽、反光背心等。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协作单位设备进入施工现场后，协作单位驾驶员、技术人员应服从我司现场管理人员的调度与指挥，并遵守施工现场的规章制度。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采购</w:t>
      </w:r>
      <w:r>
        <w:rPr>
          <w:rFonts w:hint="eastAsia" w:ascii="仿宋_GB2312" w:hAnsi="仿宋_GB2312" w:eastAsia="仿宋_GB2312" w:cs="仿宋_GB2312"/>
          <w:color w:val="000000"/>
          <w:sz w:val="32"/>
          <w:szCs w:val="32"/>
          <w:highlight w:val="none"/>
        </w:rPr>
        <w:t>人有权对不符合技术性能要求的设备和人员提出更换。</w:t>
      </w:r>
    </w:p>
    <w:p>
      <w:pPr>
        <w:keepNext w:val="0"/>
        <w:keepLines w:val="0"/>
        <w:widowControl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highlight w:val="none"/>
          <w:lang w:val="en-US" w:eastAsia="zh-CN"/>
        </w:rPr>
      </w:pPr>
      <w:bookmarkStart w:id="80" w:name="_Toc8749"/>
      <w:bookmarkStart w:id="81" w:name="_Toc15939"/>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b/>
          <w:bCs/>
          <w:sz w:val="32"/>
          <w:szCs w:val="32"/>
          <w:highlight w:val="none"/>
          <w:lang w:val="en-US" w:eastAsia="zh-CN"/>
        </w:rPr>
        <w:t>强制资格条件</w:t>
      </w:r>
      <w:r>
        <w:rPr>
          <w:rFonts w:hint="eastAsia" w:ascii="仿宋_GB2312" w:hAnsi="仿宋_GB2312" w:eastAsia="仿宋_GB2312" w:cs="仿宋_GB2312"/>
          <w:sz w:val="32"/>
          <w:szCs w:val="32"/>
          <w:highlight w:val="none"/>
          <w:lang w:val="en-US" w:eastAsia="zh-CN"/>
        </w:rPr>
        <w:t>表的要求提供有关材料。</w:t>
      </w:r>
      <w:bookmarkEnd w:id="80"/>
      <w:bookmarkEnd w:id="81"/>
    </w:p>
    <w:p>
      <w:pPr>
        <w:keepNext w:val="0"/>
        <w:keepLines w:val="0"/>
        <w:widowControl w:val="0"/>
        <w:kinsoku/>
        <w:wordWrap/>
        <w:overflowPunct/>
        <w:topLinePunct w:val="0"/>
        <w:autoSpaceDE/>
        <w:autoSpaceDN/>
        <w:bidi w:val="0"/>
        <w:adjustRightInd/>
        <w:snapToGrid w:val="0"/>
        <w:spacing w:line="560" w:lineRule="exact"/>
        <w:jc w:val="center"/>
        <w:rPr>
          <w:rFonts w:hint="eastAsia" w:eastAsia="宋体"/>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强制资格条件表</w:t>
      </w:r>
    </w:p>
    <w:tbl>
      <w:tblPr>
        <w:tblStyle w:val="31"/>
        <w:tblW w:w="9640" w:type="dxa"/>
        <w:jc w:val="center"/>
        <w:tblLayout w:type="fixed"/>
        <w:tblCellMar>
          <w:top w:w="15" w:type="dxa"/>
          <w:left w:w="15" w:type="dxa"/>
          <w:bottom w:w="15" w:type="dxa"/>
          <w:right w:w="15" w:type="dxa"/>
        </w:tblCellMar>
      </w:tblPr>
      <w:tblGrid>
        <w:gridCol w:w="899"/>
        <w:gridCol w:w="1803"/>
        <w:gridCol w:w="6938"/>
      </w:tblGrid>
      <w:tr>
        <w:tblPrEx>
          <w:tblCellMar>
            <w:top w:w="15" w:type="dxa"/>
            <w:left w:w="15" w:type="dxa"/>
            <w:bottom w:w="15" w:type="dxa"/>
            <w:right w:w="15" w:type="dxa"/>
          </w:tblCellMar>
        </w:tblPrEx>
        <w:trPr>
          <w:trHeight w:val="567" w:hRule="atLeas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序号</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对象</w:t>
            </w:r>
          </w:p>
        </w:tc>
        <w:tc>
          <w:tcPr>
            <w:tcW w:w="6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要 求</w:t>
            </w:r>
          </w:p>
        </w:tc>
      </w:tr>
      <w:tr>
        <w:tblPrEx>
          <w:tblCellMar>
            <w:top w:w="15" w:type="dxa"/>
            <w:left w:w="15" w:type="dxa"/>
            <w:bottom w:w="15" w:type="dxa"/>
            <w:right w:w="15" w:type="dxa"/>
          </w:tblCellMar>
        </w:tblPrEx>
        <w:trPr>
          <w:trHeight w:val="567" w:hRule="atLeas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投标人</w:t>
            </w:r>
          </w:p>
        </w:tc>
        <w:tc>
          <w:tcPr>
            <w:tcW w:w="6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both"/>
              <w:textAlignment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具有独立法人资格及年检合格有效的企业法人营业执照。</w:t>
            </w:r>
          </w:p>
        </w:tc>
      </w:tr>
      <w:tr>
        <w:tblPrEx>
          <w:tblCellMar>
            <w:top w:w="15" w:type="dxa"/>
            <w:left w:w="15" w:type="dxa"/>
            <w:bottom w:w="15" w:type="dxa"/>
            <w:right w:w="15" w:type="dxa"/>
          </w:tblCellMar>
        </w:tblPrEx>
        <w:trPr>
          <w:trHeight w:val="567" w:hRule="atLeast"/>
          <w:jc w:val="center"/>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p>
        </w:tc>
        <w:tc>
          <w:tcPr>
            <w:tcW w:w="1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kinsoku/>
              <w:wordWrap/>
              <w:overflowPunct/>
              <w:topLinePunct w:val="0"/>
              <w:autoSpaceDE/>
              <w:autoSpaceDN/>
              <w:bidi w:val="0"/>
              <w:adjustRightInd/>
              <w:spacing w:line="560" w:lineRule="exact"/>
              <w:jc w:val="center"/>
              <w:textAlignment w:val="center"/>
              <w:rPr>
                <w:rFonts w:hint="eastAsia" w:ascii="仿宋_GB2312" w:hAnsi="仿宋_GB2312" w:eastAsia="仿宋_GB2312" w:cs="仿宋_GB2312"/>
                <w:kern w:val="0"/>
                <w:sz w:val="32"/>
                <w:szCs w:val="32"/>
                <w:highlight w:val="none"/>
              </w:rPr>
            </w:pPr>
            <w:bookmarkStart w:id="82" w:name="OLE_LINK24"/>
            <w:r>
              <w:rPr>
                <w:rFonts w:hint="eastAsia" w:ascii="仿宋_GB2312" w:hAnsi="仿宋_GB2312" w:eastAsia="仿宋_GB2312" w:cs="仿宋_GB2312"/>
                <w:kern w:val="0"/>
                <w:sz w:val="32"/>
                <w:szCs w:val="32"/>
                <w:highlight w:val="none"/>
              </w:rPr>
              <w:t>资质</w:t>
            </w:r>
            <w:bookmarkEnd w:id="82"/>
          </w:p>
        </w:tc>
        <w:tc>
          <w:tcPr>
            <w:tcW w:w="6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kinsoku/>
              <w:wordWrap/>
              <w:overflowPunct/>
              <w:topLinePunct w:val="0"/>
              <w:autoSpaceDE/>
              <w:autoSpaceDN/>
              <w:bidi w:val="0"/>
              <w:adjustRightInd/>
              <w:spacing w:line="560" w:lineRule="exact"/>
              <w:jc w:val="both"/>
              <w:rPr>
                <w:rFonts w:hint="eastAsia" w:ascii="仿宋_GB2312" w:hAnsi="仿宋_GB2312" w:eastAsia="仿宋_GB2312" w:cs="仿宋_GB2312"/>
                <w:kern w:val="0"/>
                <w:sz w:val="32"/>
                <w:szCs w:val="32"/>
                <w:highlight w:val="none"/>
                <w:lang w:val="en-US" w:eastAsia="zh-CN" w:bidi="ar-SA"/>
              </w:rPr>
            </w:pPr>
            <w:bookmarkStart w:id="83" w:name="OLE_LINK26"/>
            <w:r>
              <w:rPr>
                <w:rFonts w:hint="eastAsia" w:ascii="仿宋_GB2312" w:hAnsi="仿宋_GB2312" w:eastAsia="仿宋_GB2312" w:cs="仿宋_GB2312"/>
                <w:kern w:val="0"/>
                <w:sz w:val="32"/>
                <w:szCs w:val="32"/>
                <w:highlight w:val="none"/>
                <w:lang w:val="en-US" w:eastAsia="zh-CN" w:bidi="ar-SA"/>
              </w:rPr>
              <w:t>1.具备建设行政主管部门核发的企业安全生产许可证。</w:t>
            </w:r>
          </w:p>
          <w:bookmarkEnd w:id="83"/>
          <w:p>
            <w:pPr>
              <w:keepNext w:val="0"/>
              <w:keepLines w:val="0"/>
              <w:kinsoku/>
              <w:wordWrap/>
              <w:overflowPunct/>
              <w:topLinePunct w:val="0"/>
              <w:autoSpaceDE/>
              <w:autoSpaceDN/>
              <w:bidi w:val="0"/>
              <w:adjustRightInd/>
              <w:spacing w:line="560" w:lineRule="exact"/>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SA"/>
              </w:rPr>
              <w:t>2.本项目不接受联合体报价。</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采购文件中规定的其他要求。</w:t>
      </w:r>
    </w:p>
    <w:p>
      <w:pPr>
        <w:keepNext w:val="0"/>
        <w:keepLines w:val="0"/>
        <w:widowControl w:val="0"/>
        <w:kinsoku/>
        <w:wordWrap/>
        <w:overflowPunct/>
        <w:topLinePunct w:val="0"/>
        <w:autoSpaceDE/>
        <w:autoSpaceDN/>
        <w:bidi w:val="0"/>
        <w:adjustRightInd/>
        <w:snapToGrid/>
        <w:spacing w:line="560" w:lineRule="exact"/>
        <w:ind w:firstLine="420" w:firstLineChars="200"/>
        <w:jc w:val="left"/>
        <w:textAlignment w:val="auto"/>
        <w:rPr>
          <w:rFonts w:eastAsia="仿宋_GB2312"/>
          <w:color w:val="FF0000"/>
          <w:highlight w:val="none"/>
        </w:rPr>
        <w:sectPr>
          <w:footerReference r:id="rId3" w:type="default"/>
          <w:pgSz w:w="11906" w:h="16838"/>
          <w:pgMar w:top="1440" w:right="1417" w:bottom="1440" w:left="1587" w:header="851" w:footer="992" w:gutter="0"/>
          <w:pgNumType w:fmt="decimal"/>
          <w:cols w:space="720" w:num="1"/>
          <w:docGrid w:type="linesAndChars" w:linePitch="317" w:charSpace="204"/>
        </w:sect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84" w:name="_Toc31783"/>
      <w:bookmarkStart w:id="85" w:name="_Toc7355"/>
      <w:bookmarkStart w:id="86" w:name="_Toc24713"/>
      <w:bookmarkStart w:id="87" w:name="_Toc296"/>
      <w:bookmarkStart w:id="88" w:name="_Toc32538"/>
      <w:bookmarkStart w:id="89" w:name="_Toc19180"/>
      <w:bookmarkStart w:id="90" w:name="_Toc14725"/>
      <w:bookmarkStart w:id="91" w:name="_Toc4395"/>
      <w:bookmarkStart w:id="92" w:name="_Toc18504"/>
      <w:bookmarkStart w:id="93" w:name="_Toc25750"/>
      <w:bookmarkStart w:id="94" w:name="_Toc14893"/>
      <w:bookmarkStart w:id="95" w:name="_Toc21277"/>
      <w:bookmarkStart w:id="96" w:name="_Toc29443"/>
      <w:r>
        <w:rPr>
          <w:rFonts w:hint="eastAsia" w:ascii="黑体" w:hAnsi="黑体" w:eastAsia="黑体" w:cs="黑体"/>
          <w:sz w:val="44"/>
          <w:szCs w:val="44"/>
          <w:highlight w:val="none"/>
        </w:rPr>
        <w:t>第三篇  供应商须知</w:t>
      </w:r>
      <w:bookmarkEnd w:id="84"/>
      <w:bookmarkEnd w:id="85"/>
      <w:bookmarkEnd w:id="86"/>
      <w:bookmarkEnd w:id="87"/>
      <w:bookmarkEnd w:id="88"/>
      <w:bookmarkEnd w:id="89"/>
      <w:bookmarkEnd w:id="90"/>
      <w:bookmarkEnd w:id="91"/>
      <w:bookmarkEnd w:id="92"/>
      <w:bookmarkEnd w:id="93"/>
      <w:bookmarkEnd w:id="94"/>
      <w:bookmarkEnd w:id="95"/>
      <w:bookmarkEnd w:id="96"/>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highlight w:val="none"/>
        </w:rPr>
      </w:pP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97" w:name="_Toc6819"/>
      <w:bookmarkStart w:id="98" w:name="_Toc26561"/>
      <w:bookmarkStart w:id="99" w:name="_Toc8816"/>
      <w:bookmarkStart w:id="100" w:name="_Toc8943"/>
      <w:bookmarkStart w:id="101" w:name="_Toc6770"/>
      <w:bookmarkStart w:id="102" w:name="_Toc3437"/>
      <w:r>
        <w:rPr>
          <w:rFonts w:hint="eastAsia" w:ascii="仿宋_GB2312" w:hAnsi="仿宋_GB2312" w:eastAsia="仿宋_GB2312" w:cs="仿宋_GB2312"/>
          <w:b/>
          <w:sz w:val="32"/>
          <w:szCs w:val="32"/>
          <w:highlight w:val="none"/>
        </w:rPr>
        <w:t>一、资金来源</w:t>
      </w:r>
      <w:bookmarkEnd w:id="97"/>
      <w:bookmarkEnd w:id="98"/>
      <w:bookmarkEnd w:id="99"/>
      <w:bookmarkEnd w:id="100"/>
      <w:bookmarkEnd w:id="101"/>
      <w:bookmarkEnd w:id="102"/>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资金来源：</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企业自筹资金。</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03" w:name="_Toc18846"/>
      <w:bookmarkStart w:id="104" w:name="_Toc31811"/>
      <w:bookmarkStart w:id="105" w:name="_Toc14753"/>
      <w:bookmarkStart w:id="106" w:name="_Toc3369"/>
      <w:bookmarkStart w:id="107" w:name="_Toc13171"/>
      <w:bookmarkStart w:id="108" w:name="_Toc32750"/>
      <w:r>
        <w:rPr>
          <w:rFonts w:hint="eastAsia" w:ascii="仿宋_GB2312" w:hAnsi="仿宋_GB2312" w:eastAsia="仿宋_GB2312" w:cs="仿宋_GB2312"/>
          <w:b/>
          <w:sz w:val="32"/>
          <w:szCs w:val="32"/>
          <w:highlight w:val="none"/>
        </w:rPr>
        <w:t>二、供应商的合格条件</w:t>
      </w:r>
      <w:bookmarkEnd w:id="103"/>
      <w:bookmarkEnd w:id="104"/>
      <w:bookmarkEnd w:id="105"/>
      <w:bookmarkEnd w:id="106"/>
      <w:bookmarkEnd w:id="107"/>
      <w:bookmarkEnd w:id="108"/>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（一）本项目采用资格后审方式</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（二）资格条件要求</w:t>
      </w:r>
    </w:p>
    <w:tbl>
      <w:tblPr>
        <w:tblStyle w:val="32"/>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5"/>
        <w:gridCol w:w="6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营业执照</w:t>
            </w:r>
          </w:p>
        </w:tc>
        <w:tc>
          <w:tcPr>
            <w:tcW w:w="6606" w:type="dxa"/>
            <w:vAlign w:val="center"/>
          </w:tcPr>
          <w:p>
            <w:pPr>
              <w:keepNext/>
              <w:keepLines/>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供应商应提供有效的依法合法设立的独立法人企业的营业执照复印件并加盖供应商公章，未提供或提供不全的响应文件将被否决。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法定代表人授权书或法定代表人身份证明</w:t>
            </w:r>
          </w:p>
        </w:tc>
        <w:tc>
          <w:tcPr>
            <w:tcW w:w="6606" w:type="dxa"/>
            <w:vAlign w:val="center"/>
          </w:tcPr>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供应商应提供法定代表人授权书或法定代表人身份证明，未提供或提供不全的响应文件将被否决。</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注：供应商应按照采购文件格式规定提供。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95" w:type="dxa"/>
            <w:vAlign w:val="center"/>
          </w:tcPr>
          <w:p>
            <w:pPr>
              <w:spacing w:line="560" w:lineRule="exact"/>
              <w:ind w:firstLine="320" w:firstLineChars="100"/>
              <w:rPr>
                <w:rFonts w:hint="eastAsia" w:ascii="仿宋_GB2312" w:hAnsi="仿宋_GB2312" w:eastAsia="仿宋_GB2312" w:cs="仿宋_GB2312"/>
                <w:sz w:val="32"/>
                <w:szCs w:val="32"/>
                <w:highlight w:val="none"/>
                <w:lang w:val="en-US" w:eastAsia="zh-CN"/>
              </w:rPr>
            </w:pPr>
            <w:bookmarkStart w:id="109" w:name="_Toc4294"/>
            <w:bookmarkStart w:id="110" w:name="_Toc5610"/>
            <w:bookmarkStart w:id="111" w:name="_Toc30593"/>
            <w:bookmarkStart w:id="112" w:name="_Toc13808"/>
            <w:bookmarkStart w:id="113" w:name="_Toc9403"/>
            <w:bookmarkStart w:id="114" w:name="_Toc7335"/>
            <w:r>
              <w:rPr>
                <w:rFonts w:hint="eastAsia" w:ascii="仿宋_GB2312" w:hAnsi="仿宋_GB2312" w:eastAsia="仿宋_GB2312" w:cs="仿宋_GB2312"/>
                <w:kern w:val="0"/>
                <w:sz w:val="32"/>
                <w:szCs w:val="32"/>
                <w:highlight w:val="none"/>
              </w:rPr>
              <w:t>资</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质</w:t>
            </w:r>
            <w:r>
              <w:rPr>
                <w:rFonts w:hint="eastAsia" w:ascii="仿宋_GB2312" w:hAnsi="仿宋_GB2312" w:eastAsia="仿宋_GB2312" w:cs="仿宋_GB2312"/>
                <w:kern w:val="0"/>
                <w:sz w:val="32"/>
                <w:szCs w:val="32"/>
                <w:highlight w:val="none"/>
                <w:lang w:val="en-US" w:eastAsia="zh-CN"/>
              </w:rPr>
              <w:t xml:space="preserve"> 条 件</w:t>
            </w:r>
          </w:p>
        </w:tc>
        <w:tc>
          <w:tcPr>
            <w:tcW w:w="6606" w:type="dxa"/>
            <w:vAlign w:val="center"/>
          </w:tcPr>
          <w:p>
            <w:pPr>
              <w:keepNext w:val="0"/>
              <w:keepLines w:val="0"/>
              <w:kinsoku/>
              <w:wordWrap/>
              <w:overflowPunct/>
              <w:topLinePunct w:val="0"/>
              <w:autoSpaceDE/>
              <w:autoSpaceDN/>
              <w:bidi w:val="0"/>
              <w:adjustRightInd/>
              <w:spacing w:line="560" w:lineRule="exact"/>
              <w:jc w:val="both"/>
              <w:rPr>
                <w:rFonts w:hint="eastAsia" w:ascii="仿宋_GB2312" w:hAnsi="仿宋_GB2312" w:eastAsia="仿宋_GB2312" w:cs="仿宋_GB2312"/>
                <w:sz w:val="32"/>
                <w:szCs w:val="32"/>
                <w:highlight w:val="none"/>
              </w:rPr>
            </w:pPr>
            <w:bookmarkStart w:id="115" w:name="OLE_LINK27"/>
            <w:r>
              <w:rPr>
                <w:rFonts w:hint="eastAsia" w:ascii="仿宋_GB2312" w:hAnsi="仿宋_GB2312" w:eastAsia="仿宋_GB2312" w:cs="仿宋_GB2312"/>
                <w:kern w:val="0"/>
                <w:sz w:val="32"/>
                <w:szCs w:val="32"/>
                <w:highlight w:val="none"/>
                <w:lang w:val="en-US" w:eastAsia="zh-CN" w:bidi="ar-SA"/>
              </w:rPr>
              <w:t>1.具备建设行政主管部门核发的企业安全生产许可证。</w:t>
            </w:r>
            <w:bookmarkEnd w:id="115"/>
          </w:p>
        </w:tc>
      </w:tr>
    </w:tbl>
    <w:p>
      <w:pPr>
        <w:spacing w:line="560" w:lineRule="exact"/>
        <w:ind w:firstLine="643" w:firstLineChars="200"/>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三、询价采购日程安排</w:t>
      </w:r>
      <w:bookmarkEnd w:id="109"/>
      <w:bookmarkEnd w:id="110"/>
      <w:bookmarkEnd w:id="111"/>
      <w:bookmarkEnd w:id="112"/>
      <w:bookmarkEnd w:id="113"/>
      <w:bookmarkEnd w:id="114"/>
    </w:p>
    <w:tbl>
      <w:tblPr>
        <w:tblStyle w:val="3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32"/>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序号</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询价采购人</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福路通资源循环（福建）有限公司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w:t>
            </w:r>
          </w:p>
        </w:tc>
        <w:tc>
          <w:tcPr>
            <w:tcW w:w="5361" w:type="dxa"/>
            <w:vAlign w:val="center"/>
          </w:tcPr>
          <w:p>
            <w:pPr>
              <w:spacing w:line="560" w:lineRule="exact"/>
              <w:jc w:val="center"/>
              <w:rPr>
                <w:rFonts w:hint="eastAsia" w:ascii="仿宋_GB2312" w:hAnsi="仿宋_GB2312" w:eastAsia="微软雅黑"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旋转桶式活动护栏的拼装及配送劳务服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询价采购方式</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询价采购文件领取</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详见询价采购公告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5</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现场查看时间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不组织现场查看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p>
        </w:tc>
        <w:tc>
          <w:tcPr>
            <w:tcW w:w="2860" w:type="dxa"/>
            <w:vAlign w:val="center"/>
          </w:tcPr>
          <w:p>
            <w:pPr>
              <w:spacing w:line="560" w:lineRule="exact"/>
              <w:jc w:val="center"/>
              <w:rPr>
                <w:rFonts w:ascii="仿宋_GB2312" w:hAnsi="仿宋_GB2312" w:eastAsia="仿宋_GB2312" w:cs="仿宋_GB2312"/>
                <w:sz w:val="32"/>
                <w:szCs w:val="32"/>
                <w:highlight w:val="none"/>
              </w:rPr>
            </w:pPr>
            <w:bookmarkStart w:id="116" w:name="OLE_LINK11"/>
            <w:r>
              <w:rPr>
                <w:rFonts w:hint="eastAsia" w:ascii="仿宋_GB2312" w:hAnsi="仿宋_GB2312" w:eastAsia="仿宋_GB2312" w:cs="仿宋_GB2312"/>
                <w:sz w:val="32"/>
                <w:szCs w:val="32"/>
                <w:highlight w:val="none"/>
              </w:rPr>
              <w:t>响应保证金</w:t>
            </w:r>
            <w:bookmarkEnd w:id="116"/>
            <w:r>
              <w:rPr>
                <w:rFonts w:hint="eastAsia" w:ascii="仿宋_GB2312" w:hAnsi="仿宋_GB2312" w:eastAsia="仿宋_GB2312" w:cs="仿宋_GB2312"/>
                <w:sz w:val="32"/>
                <w:szCs w:val="32"/>
                <w:highlight w:val="none"/>
              </w:rPr>
              <w:t>及缴纳方式</w:t>
            </w:r>
          </w:p>
        </w:tc>
        <w:tc>
          <w:tcPr>
            <w:tcW w:w="5361" w:type="dxa"/>
            <w:vAlign w:val="center"/>
          </w:tcPr>
          <w:p>
            <w:pPr>
              <w:pStyle w:val="95"/>
              <w:spacing w:line="560" w:lineRule="exact"/>
              <w:ind w:firstLine="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本</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项目响应保证金额度为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30000</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叁</w:t>
            </w:r>
            <w:r>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t>万元整），供应商须采用转账方式汇入</w:t>
            </w:r>
            <w:r>
              <w:rPr>
                <w:rFonts w:hint="eastAsia" w:ascii="仿宋_GB2312" w:hAnsi="仿宋_GB2312" w:eastAsia="仿宋_GB2312" w:cs="仿宋_GB2312"/>
                <w:sz w:val="32"/>
                <w:szCs w:val="32"/>
                <w:highlight w:val="none"/>
                <w:lang w:val="en-US"/>
              </w:rPr>
              <w:t>采购人指定账户，未按要求缴纳保证金的不得参与本项目采购活动。</w:t>
            </w:r>
          </w:p>
          <w:p>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保证金缴纳账户信息如下：</w:t>
            </w:r>
          </w:p>
          <w:p>
            <w:pPr>
              <w:pStyle w:val="95"/>
              <w:spacing w:line="560" w:lineRule="exact"/>
              <w:ind w:firstLine="0" w:firstLine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户名：</w:t>
            </w:r>
            <w:r>
              <w:rPr>
                <w:rFonts w:hint="eastAsia" w:ascii="仿宋_GB2312" w:hAnsi="仿宋_GB2312" w:eastAsia="仿宋_GB2312" w:cs="仿宋_GB2312"/>
                <w:b/>
                <w:bCs/>
                <w:sz w:val="32"/>
                <w:szCs w:val="32"/>
                <w:highlight w:val="none"/>
                <w:lang w:val="en-US" w:eastAsia="zh-CN"/>
              </w:rPr>
              <w:t>福路通资源循环（福建）有限公司</w:t>
            </w:r>
          </w:p>
          <w:p>
            <w:pPr>
              <w:pStyle w:val="95"/>
              <w:spacing w:line="560" w:lineRule="exact"/>
              <w:ind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开户行：</w:t>
            </w:r>
            <w:r>
              <w:rPr>
                <w:rFonts w:hint="eastAsia" w:ascii="仿宋_GB2312" w:hAnsi="仿宋_GB2312" w:eastAsia="仿宋_GB2312" w:cs="仿宋_GB2312"/>
                <w:b/>
                <w:bCs/>
                <w:sz w:val="32"/>
                <w:szCs w:val="32"/>
                <w:highlight w:val="none"/>
                <w:lang w:val="en-US" w:eastAsia="zh-CN"/>
              </w:rPr>
              <w:t>兴业银行股份有限公司福州华林支行</w:t>
            </w:r>
          </w:p>
          <w:p>
            <w:pPr>
              <w:pStyle w:val="95"/>
              <w:spacing w:line="560" w:lineRule="exact"/>
              <w:ind w:firstLine="0" w:firstLine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账号：</w:t>
            </w:r>
            <w:r>
              <w:rPr>
                <w:rFonts w:hint="eastAsia" w:ascii="仿宋_GB2312" w:hAnsi="仿宋_GB2312" w:eastAsia="仿宋_GB2312" w:cs="仿宋_GB2312"/>
                <w:b/>
                <w:bCs/>
                <w:sz w:val="32"/>
                <w:szCs w:val="32"/>
                <w:highlight w:val="none"/>
                <w:lang w:val="en-US" w:eastAsia="zh-CN"/>
              </w:rPr>
              <w:t>117130100171111113</w:t>
            </w:r>
          </w:p>
          <w:p>
            <w:pPr>
              <w:pStyle w:val="95"/>
              <w:spacing w:line="560" w:lineRule="exact"/>
              <w:ind w:left="0" w:leftChars="0" w:firstLine="0" w:firstLineChars="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rPr>
              <w:t>注明用途：</w:t>
            </w:r>
            <w:r>
              <w:rPr>
                <w:rFonts w:hint="eastAsia" w:ascii="仿宋_GB2312" w:hAnsi="仿宋_GB2312" w:eastAsia="仿宋_GB2312" w:cs="仿宋_GB2312"/>
                <w:sz w:val="32"/>
                <w:szCs w:val="32"/>
                <w:highlight w:val="none"/>
                <w:lang w:val="en-US" w:eastAsia="zh-CN"/>
              </w:rPr>
              <w:t>活动护栏拼装服务项目</w:t>
            </w:r>
            <w:r>
              <w:rPr>
                <w:rFonts w:hint="eastAsia" w:ascii="仿宋_GB2312" w:hAnsi="仿宋_GB2312" w:eastAsia="仿宋_GB2312" w:cs="仿宋_GB2312"/>
                <w:sz w:val="32"/>
                <w:szCs w:val="32"/>
                <w:highlight w:val="none"/>
                <w:lang w:val="en-US"/>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p>
        </w:tc>
        <w:tc>
          <w:tcPr>
            <w:tcW w:w="2860" w:type="dxa"/>
            <w:vAlign w:val="center"/>
          </w:tcPr>
          <w:p>
            <w:pPr>
              <w:spacing w:line="560" w:lineRule="exact"/>
              <w:jc w:val="center"/>
              <w:rPr>
                <w:rFonts w:ascii="仿宋_GB2312" w:hAnsi="仿宋_GB2312" w:eastAsia="仿宋_GB2312" w:cs="仿宋_GB2312"/>
                <w:sz w:val="32"/>
                <w:szCs w:val="32"/>
                <w:highlight w:val="none"/>
              </w:rPr>
            </w:pPr>
            <w:bookmarkStart w:id="117" w:name="OLE_LINK4"/>
            <w:r>
              <w:rPr>
                <w:rFonts w:hint="eastAsia" w:ascii="仿宋_GB2312" w:hAnsi="仿宋_GB2312" w:eastAsia="仿宋_GB2312" w:cs="仿宋_GB2312"/>
                <w:sz w:val="32"/>
                <w:szCs w:val="32"/>
                <w:highlight w:val="none"/>
              </w:rPr>
              <w:t>保证金</w:t>
            </w:r>
            <w:bookmarkEnd w:id="117"/>
            <w:r>
              <w:rPr>
                <w:rFonts w:hint="eastAsia" w:ascii="仿宋_GB2312" w:hAnsi="仿宋_GB2312" w:eastAsia="仿宋_GB2312" w:cs="仿宋_GB2312"/>
                <w:sz w:val="32"/>
                <w:szCs w:val="32"/>
                <w:highlight w:val="none"/>
              </w:rPr>
              <w:t>缴纳时间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日17</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00之前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答疑时间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p>
        </w:tc>
        <w:tc>
          <w:tcPr>
            <w:tcW w:w="2860" w:type="dxa"/>
            <w:vAlign w:val="center"/>
          </w:tcPr>
          <w:p>
            <w:pPr>
              <w:spacing w:line="56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递交响应文件</w:t>
            </w:r>
          </w:p>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响应文件评审时间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1</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合同签订时间</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成交通知书下达后7日内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2</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响应文件投递地点</w:t>
            </w:r>
          </w:p>
        </w:tc>
        <w:tc>
          <w:tcPr>
            <w:tcW w:w="5361" w:type="dxa"/>
            <w:vAlign w:val="center"/>
          </w:tcPr>
          <w:p>
            <w:pPr>
              <w:spacing w:line="560" w:lineRule="exac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福建省福州市鼓楼区东水路18号交通运输厅26楼</w:t>
            </w:r>
            <w:r>
              <w:rPr>
                <w:rFonts w:hint="eastAsia" w:ascii="仿宋_GB2312" w:hAnsi="仿宋_GB2312" w:eastAsia="仿宋_GB2312" w:cs="仿宋_GB2312"/>
                <w:sz w:val="32"/>
                <w:szCs w:val="32"/>
                <w:highlight w:val="none"/>
                <w:lang w:eastAsia="zh-CN"/>
              </w:rPr>
              <w:t>福路通资源循环（福建）有限公司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交货时间、地点</w:t>
            </w:r>
          </w:p>
        </w:tc>
        <w:tc>
          <w:tcPr>
            <w:tcW w:w="5361" w:type="dxa"/>
            <w:vAlign w:val="center"/>
          </w:tcPr>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交货时间：由询价采购人提前7天通知，供应商按询价采购人通知的</w:t>
            </w:r>
            <w:r>
              <w:rPr>
                <w:rFonts w:hint="eastAsia" w:ascii="仿宋_GB2312" w:hAnsi="仿宋_GB2312" w:eastAsia="仿宋_GB2312" w:cs="仿宋_GB2312"/>
                <w:sz w:val="32"/>
                <w:szCs w:val="32"/>
                <w:highlight w:val="none"/>
                <w:lang w:val="en-US" w:eastAsia="zh-CN"/>
              </w:rPr>
              <w:t>时间到指定地点拼装中央分隔带开口旋转桶式活动护栏并进行配送</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交货地点：</w:t>
            </w:r>
            <w:r>
              <w:rPr>
                <w:rFonts w:hint="eastAsia" w:ascii="仿宋_GB2312" w:hAnsi="仿宋_GB2312" w:eastAsia="仿宋_GB2312" w:cs="仿宋_GB2312"/>
                <w:sz w:val="32"/>
                <w:szCs w:val="32"/>
                <w:highlight w:val="none"/>
                <w:lang w:val="en-US" w:eastAsia="zh-CN"/>
              </w:rPr>
              <w:t>福建省高速路段各站点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成交办法</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b/>
                <w:bCs w:val="0"/>
                <w:sz w:val="32"/>
                <w:szCs w:val="32"/>
                <w:highlight w:val="none"/>
              </w:rPr>
              <w:t>采用</w:t>
            </w:r>
            <w:r>
              <w:rPr>
                <w:rFonts w:hint="eastAsia" w:ascii="仿宋_GB2312" w:hAnsi="仿宋_GB2312" w:eastAsia="仿宋_GB2312" w:cs="仿宋_GB2312"/>
                <w:b/>
                <w:bCs w:val="0"/>
                <w:sz w:val="32"/>
                <w:szCs w:val="32"/>
                <w:highlight w:val="none"/>
                <w:lang w:val="en-US" w:eastAsia="zh-CN"/>
              </w:rPr>
              <w:t>最低价评分法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5</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成交结果公示媒介</w:t>
            </w:r>
          </w:p>
        </w:tc>
        <w:tc>
          <w:tcPr>
            <w:tcW w:w="5361" w:type="dxa"/>
            <w:vAlign w:val="center"/>
          </w:tcPr>
          <w:p>
            <w:pPr>
              <w:wordWrap w:val="0"/>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本项目成交结果公示在</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公示栏及福建省高速公路集团有限公司（www.fjgsgl.com），各供应商自行查看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spacing w:line="560" w:lineRule="exact"/>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6</w:t>
            </w:r>
          </w:p>
        </w:tc>
        <w:tc>
          <w:tcPr>
            <w:tcW w:w="2860"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响应有效期</w:t>
            </w:r>
          </w:p>
        </w:tc>
        <w:tc>
          <w:tcPr>
            <w:tcW w:w="5361" w:type="dxa"/>
            <w:vAlign w:val="center"/>
          </w:tcPr>
          <w:p>
            <w:pPr>
              <w:spacing w:line="560" w:lineRule="exact"/>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自响应文件递交截止时间起90日</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bCs w:val="0"/>
          <w:sz w:val="32"/>
          <w:szCs w:val="32"/>
          <w:highlight w:val="none"/>
        </w:rPr>
      </w:pPr>
      <w:bookmarkStart w:id="118" w:name="_Toc2277"/>
      <w:bookmarkStart w:id="119" w:name="_Toc15287"/>
      <w:bookmarkStart w:id="120" w:name="_Toc16231"/>
      <w:bookmarkStart w:id="121" w:name="_Toc8687"/>
      <w:bookmarkStart w:id="122" w:name="_Toc5209"/>
      <w:bookmarkStart w:id="123" w:name="_Toc8853"/>
      <w:r>
        <w:rPr>
          <w:rFonts w:hint="eastAsia" w:ascii="仿宋_GB2312" w:hAnsi="仿宋_GB2312" w:eastAsia="仿宋_GB2312" w:cs="仿宋_GB2312"/>
          <w:b/>
          <w:bCs w:val="0"/>
          <w:sz w:val="32"/>
          <w:szCs w:val="32"/>
          <w:highlight w:val="none"/>
        </w:rPr>
        <w:t>四、询价采购文件</w:t>
      </w:r>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（一）询价采购文件由询价采购公告；项目产品规格及质量要求；供应商须知；响应文件要求；评审方法；合同主要条款、合同格式；响应文件格式共七部分组成。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sz w:val="32"/>
          <w:szCs w:val="32"/>
          <w:highlight w:val="none"/>
        </w:rPr>
        <w:t>（二）询价采购文件的解释权归</w:t>
      </w: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所有。</w:t>
      </w:r>
      <w:bookmarkStart w:id="124" w:name="_Toc7624"/>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125" w:name="_Toc2930"/>
      <w:bookmarkStart w:id="126" w:name="_Toc28946"/>
      <w:bookmarkStart w:id="127" w:name="_Toc20120"/>
      <w:bookmarkStart w:id="128" w:name="_Toc13013"/>
      <w:bookmarkStart w:id="129" w:name="_Toc26461"/>
      <w:bookmarkStart w:id="130" w:name="_Toc10107"/>
      <w:bookmarkStart w:id="131" w:name="_Toc14387"/>
      <w:bookmarkStart w:id="132" w:name="_Toc19783"/>
      <w:bookmarkStart w:id="133" w:name="_Toc2833"/>
      <w:bookmarkStart w:id="134" w:name="_Toc29640"/>
      <w:r>
        <w:rPr>
          <w:rFonts w:hint="eastAsia" w:ascii="黑体" w:hAnsi="黑体" w:eastAsia="黑体" w:cs="黑体"/>
          <w:sz w:val="44"/>
          <w:szCs w:val="44"/>
          <w:highlight w:val="none"/>
        </w:rPr>
        <w:t>第四篇  响应文件要求</w:t>
      </w:r>
      <w:bookmarkEnd w:id="124"/>
      <w:bookmarkEnd w:id="125"/>
      <w:bookmarkEnd w:id="126"/>
      <w:bookmarkEnd w:id="127"/>
      <w:bookmarkEnd w:id="128"/>
      <w:bookmarkEnd w:id="129"/>
      <w:bookmarkEnd w:id="130"/>
      <w:bookmarkEnd w:id="131"/>
      <w:bookmarkEnd w:id="132"/>
      <w:bookmarkEnd w:id="133"/>
      <w:bookmarkEnd w:id="134"/>
      <w:bookmarkStart w:id="135" w:name="_Toc409439680"/>
      <w:bookmarkStart w:id="136" w:name="_Toc508286667"/>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highlight w:val="none"/>
        </w:rPr>
      </w:pP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37" w:name="_Toc2546"/>
      <w:bookmarkStart w:id="138" w:name="_Toc3394"/>
      <w:bookmarkStart w:id="139" w:name="_Toc14659"/>
      <w:bookmarkStart w:id="140" w:name="_Toc19694"/>
      <w:bookmarkStart w:id="141" w:name="_Toc770"/>
      <w:bookmarkStart w:id="142" w:name="_Toc12755"/>
      <w:r>
        <w:rPr>
          <w:rFonts w:hint="eastAsia" w:ascii="仿宋_GB2312" w:hAnsi="仿宋_GB2312" w:eastAsia="仿宋_GB2312" w:cs="仿宋_GB2312"/>
          <w:b/>
          <w:sz w:val="32"/>
          <w:szCs w:val="32"/>
          <w:highlight w:val="none"/>
        </w:rPr>
        <w:t>一、文件要求</w:t>
      </w:r>
      <w:bookmarkEnd w:id="135"/>
      <w:bookmarkEnd w:id="136"/>
      <w:bookmarkEnd w:id="137"/>
      <w:bookmarkEnd w:id="138"/>
      <w:bookmarkEnd w:id="139"/>
      <w:bookmarkEnd w:id="140"/>
      <w:bookmarkEnd w:id="141"/>
      <w:bookmarkEnd w:id="142"/>
      <w:r>
        <w:rPr>
          <w:rFonts w:ascii="仿宋_GB2312" w:hAnsi="仿宋_GB2312" w:eastAsia="仿宋_GB2312" w:cs="仿宋_GB2312"/>
          <w:b/>
          <w:sz w:val="32"/>
          <w:szCs w:val="32"/>
          <w:highlight w:val="none"/>
        </w:rPr>
        <w:t xml:space="preserve"> </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（一）供应商应当按照询价采购文件的要求编制响应文件，供应商应满足询价采购文件提出的要求和条件。</w:t>
      </w:r>
      <w:bookmarkStart w:id="143" w:name="_Toc508286668"/>
      <w:bookmarkStart w:id="144" w:name="_Toc409439681"/>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45" w:name="_Toc19647"/>
      <w:bookmarkStart w:id="146" w:name="_Toc5206"/>
      <w:bookmarkStart w:id="147" w:name="_Toc29213"/>
      <w:bookmarkStart w:id="148" w:name="_Toc9833"/>
      <w:bookmarkStart w:id="149" w:name="_Toc9559"/>
      <w:bookmarkStart w:id="150" w:name="_Toc31702"/>
      <w:r>
        <w:rPr>
          <w:rFonts w:hint="eastAsia" w:ascii="仿宋_GB2312" w:hAnsi="仿宋_GB2312" w:eastAsia="仿宋_GB2312" w:cs="仿宋_GB2312"/>
          <w:b/>
          <w:sz w:val="32"/>
          <w:szCs w:val="32"/>
          <w:highlight w:val="none"/>
        </w:rPr>
        <w:t>二、供应商响应文件的组成</w:t>
      </w:r>
      <w:bookmarkEnd w:id="143"/>
      <w:bookmarkEnd w:id="144"/>
      <w:bookmarkEnd w:id="145"/>
      <w:bookmarkEnd w:id="146"/>
      <w:bookmarkEnd w:id="147"/>
      <w:bookmarkEnd w:id="148"/>
      <w:bookmarkEnd w:id="149"/>
      <w:bookmarkEnd w:id="150"/>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响应文件由以下部分和供应商所做的一切有效补充、修改和承诺等文件组成，具体见第七篇“响应文件格式”。它包括：</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（一）报价函；</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（二）报价表；</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（三）供应商法定代表人身份证明书；</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（四）供应商法定代表人授权委托书；</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（五）资质文件。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151" w:name="_Toc7340"/>
      <w:bookmarkStart w:id="152" w:name="_Toc24212"/>
      <w:r>
        <w:rPr>
          <w:rFonts w:hint="eastAsia" w:ascii="仿宋_GB2312" w:hAnsi="仿宋_GB2312" w:eastAsia="仿宋_GB2312" w:cs="仿宋_GB2312"/>
          <w:sz w:val="32"/>
          <w:szCs w:val="32"/>
          <w:highlight w:val="none"/>
        </w:rPr>
        <w:t>1.经有效年检的企业法人营业执照复印件（加盖供应商公章）；</w:t>
      </w:r>
      <w:bookmarkEnd w:id="151"/>
      <w:bookmarkEnd w:id="152"/>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供应商应响应询价采购文件并且符合第三篇“第二条 供应商的合格条件”规定的资格条件。</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153" w:name="_Toc5871"/>
      <w:bookmarkStart w:id="154" w:name="_Toc409439682"/>
      <w:bookmarkStart w:id="155" w:name="_Toc508286669"/>
      <w:r>
        <w:rPr>
          <w:rFonts w:hint="eastAsia" w:ascii="仿宋_GB2312" w:hAnsi="仿宋_GB2312" w:eastAsia="仿宋_GB2312" w:cs="仿宋_GB2312"/>
          <w:sz w:val="32"/>
          <w:szCs w:val="32"/>
          <w:highlight w:val="none"/>
        </w:rPr>
        <w:t>（六）风险承诺书。</w:t>
      </w:r>
      <w:bookmarkEnd w:id="153"/>
    </w:p>
    <w:bookmarkEnd w:id="154"/>
    <w:bookmarkEnd w:id="155"/>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56" w:name="_Toc7716"/>
      <w:bookmarkStart w:id="157" w:name="_Toc409439684"/>
      <w:bookmarkStart w:id="158" w:name="_Toc13896"/>
      <w:bookmarkStart w:id="159" w:name="_Toc20621"/>
      <w:bookmarkStart w:id="160" w:name="_Toc8596"/>
      <w:bookmarkStart w:id="161" w:name="_Toc8650"/>
      <w:bookmarkStart w:id="162" w:name="_Toc2075"/>
      <w:bookmarkStart w:id="163" w:name="_Toc508286670"/>
      <w:r>
        <w:rPr>
          <w:rFonts w:hint="eastAsia" w:ascii="仿宋_GB2312" w:hAnsi="仿宋_GB2312" w:eastAsia="仿宋_GB2312" w:cs="仿宋_GB2312"/>
          <w:b/>
          <w:sz w:val="32"/>
          <w:szCs w:val="32"/>
          <w:highlight w:val="none"/>
        </w:rPr>
        <w:t>三、响应文件的份数和签署</w:t>
      </w:r>
      <w:bookmarkEnd w:id="156"/>
      <w:bookmarkEnd w:id="157"/>
      <w:bookmarkEnd w:id="158"/>
      <w:bookmarkEnd w:id="159"/>
      <w:bookmarkEnd w:id="160"/>
      <w:bookmarkEnd w:id="161"/>
      <w:bookmarkEnd w:id="162"/>
      <w:bookmarkEnd w:id="163"/>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（一）响应文件一式两份，其中正本一份，副本一份，均由法定代表人或其授权代表人签署并盖公章，副本可以用正本的完整复印件。正本与副本不一致时，以正本为准。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（二）若供应商对响应文件的错处</w:t>
      </w:r>
      <w:r>
        <w:rPr>
          <w:rFonts w:hint="eastAsia" w:ascii="仿宋_GB2312" w:hAnsi="仿宋_GB2312" w:eastAsia="仿宋_GB2312" w:cs="仿宋_GB2312"/>
          <w:sz w:val="32"/>
          <w:szCs w:val="32"/>
          <w:highlight w:val="none"/>
          <w:lang w:eastAsia="zh-CN"/>
        </w:rPr>
        <w:t>做必要</w:t>
      </w:r>
      <w:r>
        <w:rPr>
          <w:rFonts w:hint="eastAsia" w:ascii="仿宋_GB2312" w:hAnsi="仿宋_GB2312" w:eastAsia="仿宋_GB2312" w:cs="仿宋_GB2312"/>
          <w:sz w:val="32"/>
          <w:szCs w:val="32"/>
          <w:highlight w:val="none"/>
        </w:rPr>
        <w:t>修改，则应在修改处由法人代表或授权代表签字确认。</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164" w:name="_Toc1740"/>
      <w:bookmarkStart w:id="165" w:name="_Toc16047"/>
      <w:r>
        <w:rPr>
          <w:rFonts w:hint="eastAsia" w:ascii="仿宋_GB2312" w:hAnsi="仿宋_GB2312" w:eastAsia="仿宋_GB2312" w:cs="仿宋_GB2312"/>
          <w:sz w:val="32"/>
          <w:szCs w:val="32"/>
          <w:highlight w:val="none"/>
        </w:rPr>
        <w:t>（三）电报、电话、传真形式的响应文件概不接受。</w:t>
      </w:r>
      <w:bookmarkEnd w:id="164"/>
      <w:bookmarkEnd w:id="165"/>
      <w:bookmarkStart w:id="166" w:name="_Toc508286671"/>
      <w:bookmarkStart w:id="167" w:name="_Toc409439685"/>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68" w:name="_Toc9896"/>
      <w:bookmarkStart w:id="169" w:name="_Toc13149"/>
      <w:bookmarkStart w:id="170" w:name="_Toc12414"/>
      <w:bookmarkStart w:id="171" w:name="_Toc24741"/>
      <w:bookmarkStart w:id="172" w:name="_Toc32171"/>
      <w:bookmarkStart w:id="173" w:name="_Toc23976"/>
      <w:r>
        <w:rPr>
          <w:rFonts w:hint="eastAsia" w:ascii="仿宋_GB2312" w:hAnsi="仿宋_GB2312" w:eastAsia="仿宋_GB2312" w:cs="仿宋_GB2312"/>
          <w:b/>
          <w:sz w:val="32"/>
          <w:szCs w:val="32"/>
          <w:highlight w:val="none"/>
        </w:rPr>
        <w:t>四、报价</w:t>
      </w:r>
      <w:bookmarkEnd w:id="166"/>
      <w:bookmarkEnd w:id="167"/>
      <w:bookmarkEnd w:id="168"/>
      <w:bookmarkEnd w:id="169"/>
      <w:bookmarkEnd w:id="170"/>
      <w:bookmarkEnd w:id="171"/>
      <w:bookmarkEnd w:id="172"/>
      <w:bookmarkEnd w:id="173"/>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（一）供应商应严格按照《响应文件格式》的“响应文件”格式认真填写。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（二）供应商的报价为一次性报价。即在报价有效期内报价价格固定不变。</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（三）供应商可在最高控制价以下自由报价，应一次性报出不得更改的价格。供应商所报价格包括单价包括</w:t>
      </w:r>
      <w:r>
        <w:rPr>
          <w:rFonts w:hint="eastAsia" w:ascii="仿宋_GB2312" w:hAnsi="仿宋_GB2312" w:eastAsia="仿宋_GB2312" w:cs="仿宋_GB2312"/>
          <w:sz w:val="32"/>
          <w:szCs w:val="32"/>
          <w:highlight w:val="none"/>
          <w:lang w:val="en-US" w:eastAsia="zh-CN"/>
        </w:rPr>
        <w:t>中央分隔带开口旋转桶式活动护栏的拼装及配送劳务服务</w:t>
      </w:r>
      <w:r>
        <w:rPr>
          <w:rFonts w:hint="eastAsia" w:ascii="仿宋_GB2312" w:hAnsi="仿宋_GB2312" w:eastAsia="仿宋_GB2312" w:cs="仿宋_GB2312"/>
          <w:sz w:val="32"/>
          <w:szCs w:val="32"/>
          <w:highlight w:val="none"/>
        </w:rPr>
        <w:t>所需的一切费用。供应商所报的总金额超过询价采购人最高询价采购控制总金额的，响应文件作相应无效处理。</w:t>
      </w:r>
      <w:bookmarkStart w:id="174" w:name="_Toc508286672"/>
      <w:bookmarkStart w:id="175" w:name="_Toc409439686"/>
      <w:bookmarkStart w:id="176" w:name="_Toc271711745"/>
    </w:p>
    <w:bookmarkEnd w:id="174"/>
    <w:bookmarkEnd w:id="175"/>
    <w:bookmarkEnd w:id="176"/>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77" w:name="_Toc30053"/>
      <w:bookmarkStart w:id="178" w:name="_Toc26394"/>
      <w:bookmarkStart w:id="179" w:name="_Toc409439687"/>
      <w:bookmarkStart w:id="180" w:name="_Toc17344"/>
      <w:bookmarkStart w:id="181" w:name="_Toc25432"/>
      <w:bookmarkStart w:id="182" w:name="_Toc508286673"/>
      <w:bookmarkStart w:id="183" w:name="_Toc32433"/>
      <w:bookmarkStart w:id="184" w:name="_Toc25615"/>
      <w:r>
        <w:rPr>
          <w:rFonts w:hint="eastAsia" w:ascii="仿宋_GB2312" w:hAnsi="仿宋_GB2312" w:eastAsia="仿宋_GB2312" w:cs="仿宋_GB2312"/>
          <w:b/>
          <w:sz w:val="32"/>
          <w:szCs w:val="32"/>
          <w:highlight w:val="none"/>
        </w:rPr>
        <w:t>五、响应文件的递交</w:t>
      </w:r>
      <w:bookmarkEnd w:id="177"/>
      <w:bookmarkEnd w:id="178"/>
      <w:bookmarkEnd w:id="179"/>
      <w:bookmarkEnd w:id="180"/>
      <w:bookmarkEnd w:id="181"/>
      <w:bookmarkEnd w:id="182"/>
      <w:bookmarkEnd w:id="183"/>
      <w:bookmarkEnd w:id="184"/>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highlight w:val="none"/>
        </w:rPr>
      </w:pPr>
      <w:bookmarkStart w:id="185" w:name="_Toc25743"/>
      <w:bookmarkStart w:id="186" w:name="_Toc30594"/>
      <w:r>
        <w:rPr>
          <w:rFonts w:hint="eastAsia" w:ascii="仿宋_GB2312" w:hAnsi="仿宋_GB2312" w:eastAsia="仿宋_GB2312" w:cs="仿宋_GB2312"/>
          <w:sz w:val="32"/>
          <w:szCs w:val="32"/>
          <w:highlight w:val="none"/>
        </w:rPr>
        <w:t>（一）响应文件的密封与标记</w:t>
      </w:r>
      <w:bookmarkEnd w:id="185"/>
      <w:bookmarkEnd w:id="186"/>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响应文件的封面应注明</w:t>
      </w:r>
      <w:r>
        <w:rPr>
          <w:rFonts w:hint="eastAsia" w:ascii="仿宋_GB2312" w:hAnsi="仿宋_GB2312" w:eastAsia="仿宋_GB2312" w:cs="仿宋_GB2312"/>
          <w:b/>
          <w:bCs/>
          <w:sz w:val="32"/>
          <w:szCs w:val="32"/>
          <w:highlight w:val="none"/>
        </w:rPr>
        <w:t>“正本”“副本”</w:t>
      </w:r>
      <w:r>
        <w:rPr>
          <w:rFonts w:hint="eastAsia" w:ascii="仿宋_GB2312" w:hAnsi="仿宋_GB2312" w:eastAsia="仿宋_GB2312" w:cs="仿宋_GB2312"/>
          <w:sz w:val="32"/>
          <w:szCs w:val="32"/>
          <w:highlight w:val="none"/>
        </w:rPr>
        <w:t>字样，一并装入密封袋密封，</w:t>
      </w:r>
      <w:r>
        <w:rPr>
          <w:rFonts w:hint="eastAsia" w:ascii="仿宋_GB2312" w:hAnsi="仿宋_GB2312" w:eastAsia="仿宋_GB2312" w:cs="仿宋_GB2312"/>
          <w:b/>
          <w:sz w:val="32"/>
          <w:szCs w:val="32"/>
          <w:highlight w:val="none"/>
        </w:rPr>
        <w:t>密封袋上注明项目名称</w:t>
      </w:r>
      <w:r>
        <w:rPr>
          <w:rFonts w:hint="eastAsia" w:ascii="仿宋_GB2312" w:hAnsi="仿宋_GB2312" w:eastAsia="仿宋_GB2312" w:cs="仿宋_GB2312"/>
          <w:sz w:val="32"/>
          <w:szCs w:val="32"/>
          <w:highlight w:val="none"/>
        </w:rPr>
        <w:t>。密封袋的封口处须加盖密封章。</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highlight w:val="none"/>
        </w:rPr>
      </w:pPr>
      <w:bookmarkStart w:id="187" w:name="_Toc1617"/>
      <w:bookmarkStart w:id="188" w:name="_Toc12001"/>
      <w:r>
        <w:rPr>
          <w:rFonts w:hint="eastAsia" w:ascii="仿宋_GB2312" w:hAnsi="仿宋_GB2312" w:eastAsia="仿宋_GB2312" w:cs="仿宋_GB2312"/>
          <w:sz w:val="32"/>
          <w:szCs w:val="32"/>
          <w:highlight w:val="none"/>
        </w:rPr>
        <w:t>（二）响应文件的递交</w:t>
      </w:r>
      <w:bookmarkEnd w:id="187"/>
      <w:bookmarkEnd w:id="188"/>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供应商响应文件应于询价采购文件要求的递交响应文件截止时间前现场递交，响应文件的递交地点与时间见第三篇供应商须知。</w:t>
      </w:r>
      <w:bookmarkStart w:id="189" w:name="_Toc409439688"/>
      <w:bookmarkStart w:id="190" w:name="_Toc508286674"/>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hAnsi="仿宋_GB2312" w:eastAsia="仿宋_GB2312" w:cs="仿宋_GB2312"/>
          <w:b/>
          <w:sz w:val="32"/>
          <w:szCs w:val="32"/>
          <w:highlight w:val="none"/>
        </w:rPr>
      </w:pPr>
      <w:bookmarkStart w:id="191" w:name="_Toc30532"/>
      <w:bookmarkStart w:id="192" w:name="_Toc19444"/>
      <w:bookmarkStart w:id="193" w:name="_Toc22265"/>
      <w:bookmarkStart w:id="194" w:name="_Toc17564"/>
      <w:bookmarkStart w:id="195" w:name="_Toc30223"/>
      <w:bookmarkStart w:id="196" w:name="_Toc6057"/>
      <w:r>
        <w:rPr>
          <w:rFonts w:hint="eastAsia" w:ascii="仿宋_GB2312" w:hAnsi="仿宋_GB2312" w:eastAsia="仿宋_GB2312" w:cs="仿宋_GB2312"/>
          <w:b/>
          <w:sz w:val="32"/>
          <w:szCs w:val="32"/>
          <w:highlight w:val="none"/>
        </w:rPr>
        <w:t>六、无效</w:t>
      </w:r>
      <w:bookmarkEnd w:id="189"/>
      <w:r>
        <w:rPr>
          <w:rFonts w:hint="eastAsia" w:ascii="仿宋_GB2312" w:hAnsi="仿宋_GB2312" w:eastAsia="仿宋_GB2312" w:cs="仿宋_GB2312"/>
          <w:b/>
          <w:sz w:val="32"/>
          <w:szCs w:val="32"/>
          <w:highlight w:val="none"/>
        </w:rPr>
        <w:t>报价</w:t>
      </w:r>
      <w:bookmarkEnd w:id="190"/>
      <w:bookmarkEnd w:id="191"/>
      <w:bookmarkEnd w:id="192"/>
      <w:bookmarkEnd w:id="193"/>
      <w:bookmarkEnd w:id="194"/>
      <w:bookmarkEnd w:id="195"/>
      <w:bookmarkEnd w:id="196"/>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评审小组评审时，供应商响应文件出现下列情况之一者，应为无效报价：</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197" w:name="_Toc31362"/>
      <w:bookmarkStart w:id="198" w:name="_Toc17547"/>
      <w:r>
        <w:rPr>
          <w:rFonts w:hint="eastAsia" w:ascii="仿宋_GB2312" w:hAnsi="仿宋_GB2312" w:eastAsia="仿宋_GB2312" w:cs="仿宋_GB2312"/>
          <w:sz w:val="32"/>
          <w:szCs w:val="32"/>
          <w:highlight w:val="none"/>
        </w:rPr>
        <w:t>（一）供应商不具备询价采购文件规定的资格要求的。</w:t>
      </w:r>
      <w:bookmarkEnd w:id="197"/>
      <w:bookmarkEnd w:id="198"/>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（二）供应商未按照询价采购文件要求由供应商法定代表人或授权委托人签字，或未按询价采购文件要求的格式加盖公章的（</w:t>
      </w:r>
      <w:r>
        <w:rPr>
          <w:rFonts w:hint="eastAsia" w:ascii="仿宋_GB2312" w:eastAsia="仿宋_GB2312"/>
          <w:color w:val="000000"/>
          <w:sz w:val="32"/>
          <w:szCs w:val="32"/>
          <w:highlight w:val="none"/>
          <w:lang w:eastAsia="zh-CN"/>
        </w:rPr>
        <w:t>应逐页盖章</w:t>
      </w:r>
      <w:r>
        <w:rPr>
          <w:rFonts w:hint="eastAsia" w:ascii="仿宋_GB2312" w:hAnsi="仿宋_GB2312" w:eastAsia="仿宋_GB2312" w:cs="仿宋_GB2312"/>
          <w:sz w:val="32"/>
          <w:szCs w:val="32"/>
          <w:highlight w:val="none"/>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（三）响应文件出现多个报价方案或报价的。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（四）响应报价超出询价采购文件规定的询价采购控制价的。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（五）响应有效期、交货时间等商务条款不能满足询价采购文件要求的。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bookmarkStart w:id="199" w:name="_Toc3304"/>
      <w:bookmarkStart w:id="200" w:name="_Toc14743"/>
      <w:r>
        <w:rPr>
          <w:rFonts w:hint="eastAsia" w:ascii="仿宋_GB2312" w:hAnsi="仿宋_GB2312" w:eastAsia="仿宋_GB2312" w:cs="仿宋_GB2312"/>
          <w:sz w:val="32"/>
          <w:szCs w:val="32"/>
          <w:highlight w:val="none"/>
        </w:rPr>
        <w:t>（六）报价产品不符合必须强制执行的国家标准的。</w:t>
      </w:r>
      <w:bookmarkEnd w:id="199"/>
      <w:bookmarkEnd w:id="200"/>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（七）响应文件含有违反国家法律法规的内容，或附有询价采购人不能接受的条件的。</w:t>
      </w: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4"/>
          <w:szCs w:val="44"/>
          <w:highlight w:val="none"/>
        </w:rPr>
      </w:pPr>
      <w:bookmarkStart w:id="201" w:name="_Toc23564"/>
      <w:bookmarkStart w:id="202" w:name="_Toc18033"/>
      <w:bookmarkStart w:id="203" w:name="_Toc8805"/>
      <w:bookmarkStart w:id="204" w:name="_Toc12087"/>
      <w:bookmarkStart w:id="205" w:name="_Toc29924"/>
      <w:bookmarkStart w:id="206" w:name="_Toc25362"/>
      <w:bookmarkStart w:id="207" w:name="_Toc30901"/>
      <w:bookmarkStart w:id="208" w:name="_Toc24320"/>
      <w:bookmarkStart w:id="209" w:name="_Toc27561"/>
      <w:bookmarkStart w:id="210" w:name="_Toc9116"/>
      <w:bookmarkStart w:id="211" w:name="_Toc31747"/>
      <w:bookmarkStart w:id="212" w:name="_Toc187"/>
      <w:bookmarkStart w:id="213" w:name="_Toc15908"/>
      <w:bookmarkStart w:id="214" w:name="_Toc122750639"/>
      <w:bookmarkStart w:id="215" w:name="_Toc122257617"/>
      <w:r>
        <w:rPr>
          <w:rFonts w:hint="eastAsia" w:ascii="黑体" w:hAnsi="黑体" w:eastAsia="黑体" w:cs="黑体"/>
          <w:sz w:val="44"/>
          <w:szCs w:val="44"/>
          <w:highlight w:val="none"/>
        </w:rPr>
        <w:t>第五篇  评审办法</w:t>
      </w:r>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6" w:name="_Toc508286676"/>
      <w:bookmarkStart w:id="217" w:name="_Toc409439690"/>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highlight w:val="none"/>
        </w:rPr>
      </w:pP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eastAsia="仿宋_GB2312"/>
          <w:b/>
          <w:sz w:val="32"/>
          <w:szCs w:val="32"/>
          <w:highlight w:val="none"/>
        </w:rPr>
      </w:pPr>
      <w:bookmarkStart w:id="218" w:name="_Toc16695"/>
      <w:bookmarkStart w:id="219" w:name="_Toc15450"/>
      <w:bookmarkStart w:id="220" w:name="_Toc4306"/>
      <w:bookmarkStart w:id="221" w:name="_Toc8468"/>
      <w:bookmarkStart w:id="222" w:name="_Toc28055"/>
      <w:bookmarkStart w:id="223" w:name="_Toc4305"/>
      <w:r>
        <w:rPr>
          <w:rFonts w:hint="eastAsia" w:ascii="仿宋_GB2312" w:eastAsia="仿宋_GB2312"/>
          <w:b/>
          <w:sz w:val="32"/>
          <w:szCs w:val="32"/>
          <w:highlight w:val="none"/>
        </w:rPr>
        <w:t>一、响应文件开封</w:t>
      </w:r>
      <w:bookmarkEnd w:id="218"/>
      <w:bookmarkEnd w:id="219"/>
      <w:bookmarkEnd w:id="220"/>
      <w:bookmarkEnd w:id="221"/>
      <w:bookmarkEnd w:id="222"/>
      <w:bookmarkEnd w:id="223"/>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（一）响应文件开封在询价采购文件中“询价采购公告”确定的时间和地点公开进行。</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（二）询价采购人可以视询价采购具体情况，延长询价采购截止时间和开封时间，但至少应当在询价采购文件要求提交响应文件的截止时间三日前，将变更时间书面通知所有报价供应商。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（三）评审会由询价采购人主持，询价采购人、供应商或有关方面代表参加。</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（四）响应文件开封时，由询价采购方或供应商推选的代表检查响应文件的密封情况，经确认无误后，由询价采购方工作人员当众拆封宣读，宣读供应商名称、正本“报价表”内容，以及其他主要内容并记录。</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（五）响应文件开封过程由询价采购人指定专人负责记录，并存档备查。</w:t>
      </w:r>
    </w:p>
    <w:p>
      <w:pPr>
        <w:keepNext w:val="0"/>
        <w:keepLines w:val="0"/>
        <w:widowControl w:val="0"/>
        <w:kinsoku/>
        <w:wordWrap/>
        <w:overflowPunct/>
        <w:topLinePunct w:val="0"/>
        <w:autoSpaceDE/>
        <w:autoSpaceDN/>
        <w:bidi w:val="0"/>
        <w:adjustRightInd/>
        <w:snapToGrid/>
        <w:spacing w:line="560" w:lineRule="exact"/>
        <w:ind w:firstLine="643" w:firstLineChars="200"/>
        <w:textAlignment w:val="auto"/>
        <w:outlineLvl w:val="1"/>
        <w:rPr>
          <w:rFonts w:ascii="仿宋_GB2312" w:eastAsia="仿宋_GB2312"/>
          <w:b/>
          <w:sz w:val="32"/>
          <w:szCs w:val="32"/>
          <w:highlight w:val="none"/>
        </w:rPr>
      </w:pPr>
      <w:bookmarkStart w:id="224" w:name="_Toc22113"/>
      <w:bookmarkStart w:id="225" w:name="_Toc29177"/>
      <w:bookmarkStart w:id="226" w:name="_Toc5613"/>
      <w:bookmarkStart w:id="227" w:name="_Toc1053"/>
      <w:bookmarkStart w:id="228" w:name="_Toc1733"/>
      <w:bookmarkStart w:id="229" w:name="_Toc30567"/>
      <w:r>
        <w:rPr>
          <w:rFonts w:hint="eastAsia" w:ascii="仿宋_GB2312" w:eastAsia="仿宋_GB2312"/>
          <w:b/>
          <w:sz w:val="32"/>
          <w:szCs w:val="32"/>
          <w:highlight w:val="none"/>
        </w:rPr>
        <w:t>二、响应文件评审</w:t>
      </w:r>
      <w:bookmarkEnd w:id="224"/>
      <w:bookmarkEnd w:id="225"/>
      <w:bookmarkEnd w:id="226"/>
      <w:bookmarkEnd w:id="227"/>
      <w:bookmarkEnd w:id="228"/>
      <w:bookmarkEnd w:id="229"/>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_GB2312" w:eastAsia="仿宋_GB2312"/>
          <w:sz w:val="32"/>
          <w:szCs w:val="32"/>
          <w:highlight w:val="none"/>
        </w:rPr>
      </w:pPr>
      <w:bookmarkStart w:id="230" w:name="_Toc20519"/>
      <w:bookmarkStart w:id="231" w:name="_Toc12949"/>
      <w:r>
        <w:rPr>
          <w:rFonts w:hint="eastAsia" w:ascii="仿宋_GB2312" w:eastAsia="仿宋_GB2312"/>
          <w:sz w:val="32"/>
          <w:szCs w:val="32"/>
          <w:highlight w:val="none"/>
        </w:rPr>
        <w:t>（一）评审小组的组成</w:t>
      </w:r>
      <w:bookmarkEnd w:id="230"/>
      <w:bookmarkEnd w:id="231"/>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询价采购人按</w:t>
      </w:r>
      <w:r>
        <w:rPr>
          <w:rFonts w:hint="eastAsia" w:ascii="仿宋_GB2312" w:eastAsia="仿宋_GB2312"/>
          <w:sz w:val="32"/>
          <w:szCs w:val="32"/>
          <w:highlight w:val="none"/>
          <w:lang w:val="en-US" w:eastAsia="zh-CN"/>
        </w:rPr>
        <w:t>公司有关文件</w:t>
      </w:r>
      <w:r>
        <w:rPr>
          <w:rFonts w:hint="eastAsia" w:ascii="仿宋_GB2312" w:eastAsia="仿宋_GB2312"/>
          <w:sz w:val="32"/>
          <w:szCs w:val="32"/>
          <w:highlight w:val="none"/>
        </w:rPr>
        <w:t>的要求并根据询价采购项目特点组成评审小组。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_GB2312" w:eastAsia="仿宋_GB2312"/>
          <w:sz w:val="32"/>
          <w:szCs w:val="32"/>
          <w:highlight w:val="none"/>
        </w:rPr>
      </w:pPr>
      <w:bookmarkStart w:id="232" w:name="_Toc18395"/>
      <w:bookmarkStart w:id="233" w:name="_Toc304"/>
      <w:r>
        <w:rPr>
          <w:rFonts w:hint="eastAsia" w:ascii="仿宋_GB2312" w:eastAsia="仿宋_GB2312"/>
          <w:sz w:val="32"/>
          <w:szCs w:val="32"/>
          <w:highlight w:val="none"/>
        </w:rPr>
        <w:t>（二）评审方法和依据</w:t>
      </w:r>
      <w:bookmarkEnd w:id="232"/>
      <w:bookmarkEnd w:id="233"/>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3"/>
        <w:rPr>
          <w:rFonts w:ascii="仿宋_GB2312" w:eastAsia="仿宋_GB2312"/>
          <w:sz w:val="32"/>
          <w:szCs w:val="32"/>
          <w:highlight w:val="none"/>
        </w:rPr>
      </w:pPr>
      <w:bookmarkStart w:id="234" w:name="_Toc23432"/>
      <w:r>
        <w:rPr>
          <w:rFonts w:hint="eastAsia" w:ascii="仿宋_GB2312" w:eastAsia="仿宋_GB2312"/>
          <w:sz w:val="32"/>
          <w:szCs w:val="32"/>
          <w:highlight w:val="none"/>
        </w:rPr>
        <w:t>1.评审办法：</w:t>
      </w:r>
      <w:bookmarkEnd w:id="234"/>
      <w:r>
        <w:rPr>
          <w:rFonts w:hint="eastAsia" w:ascii="仿宋_GB2312" w:eastAsia="仿宋_GB2312"/>
          <w:sz w:val="32"/>
          <w:szCs w:val="32"/>
          <w:highlight w:val="none"/>
        </w:rPr>
        <w:t xml:space="preserve"> </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本项目评标采用</w:t>
      </w:r>
      <w:r>
        <w:rPr>
          <w:rFonts w:hint="eastAsia" w:ascii="仿宋_GB2312" w:hAnsi="仿宋_GB2312" w:eastAsia="仿宋_GB2312" w:cs="仿宋_GB2312"/>
          <w:b/>
          <w:sz w:val="32"/>
          <w:szCs w:val="32"/>
          <w:highlight w:val="none"/>
        </w:rPr>
        <w:t>最低价评审法</w:t>
      </w:r>
      <w:r>
        <w:rPr>
          <w:rFonts w:hint="eastAsia" w:ascii="仿宋_GB2312" w:eastAsia="仿宋_GB2312"/>
          <w:b/>
          <w:bCs/>
          <w:sz w:val="32"/>
          <w:szCs w:val="32"/>
          <w:highlight w:val="none"/>
        </w:rPr>
        <w:t>。</w:t>
      </w:r>
    </w:p>
    <w:p>
      <w:pPr>
        <w:spacing w:line="560" w:lineRule="exact"/>
        <w:ind w:firstLine="640" w:firstLineChars="200"/>
        <w:rPr>
          <w:rFonts w:ascii="仿宋_GB2312" w:eastAsia="仿宋_GB2312"/>
          <w:sz w:val="32"/>
          <w:szCs w:val="32"/>
          <w:highlight w:val="none"/>
        </w:rPr>
      </w:pPr>
      <w:bookmarkStart w:id="235" w:name="_Toc9817"/>
      <w:r>
        <w:rPr>
          <w:rFonts w:hint="eastAsia" w:ascii="仿宋_GB2312" w:eastAsia="仿宋_GB2312"/>
          <w:sz w:val="32"/>
          <w:szCs w:val="32"/>
          <w:highlight w:val="none"/>
        </w:rPr>
        <w:t>评审小组从质量和服务均能满足询价采购文件实质性响应要求的供应商中，按照报价总价由低到高的顺序不多于3名成交候选人，并编写评审报告。</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询价采购人从评审报告推荐的成交候选人中，根据质量和服务均能满足询价采购文件实质性响应要求且报价最低的原则确定成交人。</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3"/>
        <w:rPr>
          <w:rFonts w:ascii="仿宋_GB2312" w:eastAsia="仿宋_GB2312"/>
          <w:sz w:val="32"/>
          <w:szCs w:val="32"/>
          <w:highlight w:val="none"/>
        </w:rPr>
      </w:pPr>
      <w:r>
        <w:rPr>
          <w:rFonts w:hint="eastAsia" w:ascii="仿宋_GB2312" w:eastAsia="仿宋_GB2312"/>
          <w:sz w:val="32"/>
          <w:szCs w:val="32"/>
          <w:highlight w:val="none"/>
        </w:rPr>
        <w:t>2.评审依据：</w:t>
      </w:r>
      <w:bookmarkEnd w:id="235"/>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评审的依据为询价采购文件（含有效的补充文件），评审小组判断供应商对询价采购文件的响应仅基于响应文件本身而不靠外部证据。</w:t>
      </w:r>
    </w:p>
    <w:p>
      <w:pPr>
        <w:spacing w:line="560" w:lineRule="exact"/>
        <w:ind w:firstLine="640" w:firstLineChars="200"/>
        <w:outlineLvl w:val="2"/>
        <w:rPr>
          <w:rFonts w:ascii="仿宋_GB2312" w:eastAsia="仿宋_GB2312"/>
          <w:sz w:val="32"/>
          <w:szCs w:val="32"/>
          <w:highlight w:val="none"/>
        </w:rPr>
      </w:pPr>
      <w:bookmarkStart w:id="236" w:name="_Toc4555"/>
      <w:bookmarkStart w:id="237" w:name="_Toc4980"/>
      <w:r>
        <w:rPr>
          <w:rFonts w:hint="eastAsia" w:ascii="仿宋_GB2312" w:eastAsia="仿宋_GB2312"/>
          <w:sz w:val="32"/>
          <w:szCs w:val="32"/>
          <w:highlight w:val="none"/>
        </w:rPr>
        <w:t>3.评审原则：</w:t>
      </w:r>
      <w:bookmarkEnd w:id="236"/>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（1）对所有有效报价的评价，都采用相同的程序和标准。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（2）评审严格按照询价采购文件的要求和条件进行。</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outlineLvl w:val="3"/>
        <w:rPr>
          <w:rFonts w:ascii="仿宋_GB2312" w:eastAsia="仿宋_GB2312"/>
          <w:sz w:val="32"/>
          <w:szCs w:val="32"/>
          <w:highlight w:val="none"/>
        </w:rPr>
      </w:pPr>
      <w:r>
        <w:rPr>
          <w:rFonts w:hint="eastAsia" w:ascii="仿宋_GB2312" w:eastAsia="仿宋_GB2312"/>
          <w:sz w:val="32"/>
          <w:szCs w:val="32"/>
          <w:highlight w:val="none"/>
        </w:rPr>
        <w:t>4.评审程序</w:t>
      </w:r>
      <w:bookmarkEnd w:id="237"/>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（1）根据《询价采购文件》的要求和规定，评审小组首先对各供应商的《响应文件》进行初审。</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分资格性检查和符合性检查：资格性检查是依据法律法规和询价采购文件的规定，对响应文件中的资格证明等进行审查，以确定供应商是否具备报价资格；符合性检查是依据询价采购文件的规定，从响应文件的有效性、完整性和对询价采购文件的响应程度进行审查，以确定供应商是否对询价采购文件的实质性要求作出响应。</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澄清有关问题。为了有助于对响应文件进行审查、评估和比较，评审小组可以对响应文件中含义不明确、同类问题表述不一致或者有明显文字和计算错误的内容向供应商质疑，要求供应商作出必要的澄清、说明或纠正。供应商的澄清、说明或者补正应当采用书面形式，由其授权代表签字，并不得超出响应文件的范围或者改变响应文件的实质性内容。书面承诺为其响应文件的组成部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（3）比较与评价。评审小组对初审合格的响应文件按照询价采购文件中规定的评审方法和标准进行综合评价。</w:t>
      </w:r>
    </w:p>
    <w:p>
      <w:pPr>
        <w:spacing w:line="560" w:lineRule="exact"/>
        <w:ind w:firstLine="640" w:firstLineChars="200"/>
        <w:rPr>
          <w:highlight w:val="none"/>
        </w:rPr>
      </w:pPr>
      <w:r>
        <w:rPr>
          <w:rFonts w:hint="eastAsia" w:ascii="仿宋_GB2312" w:eastAsia="仿宋_GB2312"/>
          <w:sz w:val="32"/>
          <w:szCs w:val="32"/>
          <w:highlight w:val="none"/>
        </w:rPr>
        <w:t>（4）评审小组根据确定的评审方法和标准进行比较、排序，推荐出成交候选人。</w:t>
      </w:r>
    </w:p>
    <w:p>
      <w:pPr>
        <w:keepNext w:val="0"/>
        <w:keepLines w:val="0"/>
        <w:widowControl w:val="0"/>
        <w:kinsoku/>
        <w:wordWrap/>
        <w:overflowPunct/>
        <w:topLinePunct w:val="0"/>
        <w:autoSpaceDE/>
        <w:autoSpaceDN/>
        <w:bidi w:val="0"/>
        <w:adjustRightInd/>
        <w:spacing w:line="560" w:lineRule="exact"/>
        <w:ind w:firstLine="643" w:firstLineChars="200"/>
        <w:textAlignment w:val="auto"/>
        <w:outlineLvl w:val="1"/>
        <w:rPr>
          <w:rFonts w:ascii="仿宋_GB2312" w:eastAsia="仿宋_GB2312"/>
          <w:b/>
          <w:sz w:val="32"/>
          <w:szCs w:val="32"/>
          <w:highlight w:val="none"/>
        </w:rPr>
      </w:pPr>
      <w:bookmarkStart w:id="238" w:name="_Toc30670"/>
      <w:bookmarkStart w:id="239" w:name="_Toc17835"/>
      <w:bookmarkStart w:id="240" w:name="_Toc23338"/>
      <w:bookmarkStart w:id="241" w:name="_Toc28192"/>
      <w:bookmarkStart w:id="242" w:name="_Toc4340"/>
      <w:bookmarkStart w:id="243" w:name="_Toc2929"/>
      <w:r>
        <w:rPr>
          <w:rFonts w:hint="eastAsia" w:ascii="仿宋_GB2312" w:eastAsia="仿宋_GB2312"/>
          <w:b/>
          <w:sz w:val="32"/>
          <w:szCs w:val="32"/>
          <w:highlight w:val="none"/>
        </w:rPr>
        <w:t>三、成交原则</w:t>
      </w:r>
      <w:bookmarkEnd w:id="238"/>
      <w:bookmarkEnd w:id="239"/>
      <w:bookmarkEnd w:id="240"/>
      <w:bookmarkEnd w:id="241"/>
      <w:bookmarkEnd w:id="242"/>
      <w:bookmarkEnd w:id="243"/>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询价采购人（或其授权的评审小组）按照评审报告中推荐的供应商排名顺序确定排名第一的候选人为成交供应商。排名第一的成交供应商放弃成交或因不可抗力不能履行合同的，询价采购人应当确定排名第二的候选人为成交供应商。</w:t>
      </w:r>
      <w:r>
        <w:rPr>
          <w:rFonts w:hint="eastAsia" w:ascii="仿宋_GB2312" w:eastAsia="仿宋_GB2312"/>
          <w:sz w:val="32"/>
          <w:szCs w:val="32"/>
          <w:highlight w:val="none"/>
          <w:lang w:eastAsia="zh-CN"/>
        </w:rPr>
        <w:t>排名</w:t>
      </w:r>
      <w:r>
        <w:rPr>
          <w:rFonts w:hint="eastAsia" w:ascii="仿宋_GB2312" w:eastAsia="仿宋_GB2312"/>
          <w:sz w:val="32"/>
          <w:szCs w:val="32"/>
          <w:highlight w:val="none"/>
        </w:rPr>
        <w:t>第二的成交供应商因前述原因不能签订合同的，询价采购人应当确定排名第三的候选人为成交供应商。排名前三名的成交供应商均不能签订合同的，则进行重新询价采购。</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如果经审查或公示期内有异议确定该成交供应商无条件圆满履行合同，询价采购人将对排位其后第一位的成交供应商作出类似的审查和公示。询价采购结果公示于福建省高速公路集团有限公司网站（www.fjgsgl.com）。</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bookmarkStart w:id="244" w:name="_Toc4547"/>
      <w:bookmarkStart w:id="245" w:name="_Toc20855"/>
      <w:r>
        <w:rPr>
          <w:rFonts w:hint="eastAsia" w:ascii="仿宋_GB2312" w:eastAsia="仿宋_GB2312"/>
          <w:sz w:val="32"/>
          <w:szCs w:val="32"/>
          <w:highlight w:val="none"/>
        </w:rPr>
        <w:t>（三）成交通知书</w:t>
      </w:r>
      <w:bookmarkEnd w:id="244"/>
      <w:bookmarkEnd w:id="245"/>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1.询价采购有效期内，询价采购人将以书面形式向成交供应商发出《成交通知书》。《成交通知书》发出后，询价采购人改变成交结果，或者成交供应商放弃成交，应当承担相应的法律责任。</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bookmarkStart w:id="246" w:name="_Toc17503"/>
      <w:r>
        <w:rPr>
          <w:rFonts w:hint="eastAsia" w:ascii="仿宋_GB2312" w:eastAsia="仿宋_GB2312"/>
          <w:sz w:val="32"/>
          <w:szCs w:val="32"/>
          <w:highlight w:val="none"/>
        </w:rPr>
        <w:t>2.《成交通知书》是签订合同的书面依据。</w:t>
      </w:r>
      <w:bookmarkEnd w:id="246"/>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bookmarkStart w:id="247" w:name="_Toc27263"/>
      <w:bookmarkStart w:id="248" w:name="_Toc19368"/>
      <w:r>
        <w:rPr>
          <w:rFonts w:hint="eastAsia" w:ascii="仿宋_GB2312" w:eastAsia="仿宋_GB2312"/>
          <w:sz w:val="32"/>
          <w:szCs w:val="32"/>
          <w:highlight w:val="none"/>
        </w:rPr>
        <w:t>（四）签订合同时变更数量的权利</w:t>
      </w:r>
      <w:bookmarkEnd w:id="247"/>
      <w:bookmarkEnd w:id="248"/>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根据需要，询价采购人有权提出对询价采购货物作局部调整，但不得对询价采购文件和成交供应商的响应文件作实质性更改，并应经甲乙双方共同认定。</w:t>
      </w:r>
    </w:p>
    <w:p>
      <w:pPr>
        <w:keepNext w:val="0"/>
        <w:keepLines w:val="0"/>
        <w:widowControl w:val="0"/>
        <w:kinsoku/>
        <w:wordWrap/>
        <w:overflowPunct/>
        <w:topLinePunct w:val="0"/>
        <w:autoSpaceDE/>
        <w:autoSpaceDN/>
        <w:bidi w:val="0"/>
        <w:adjustRightInd/>
        <w:spacing w:line="560" w:lineRule="exact"/>
        <w:ind w:firstLine="643" w:firstLineChars="200"/>
        <w:textAlignment w:val="auto"/>
        <w:outlineLvl w:val="1"/>
        <w:rPr>
          <w:rFonts w:ascii="仿宋_GB2312" w:eastAsia="仿宋_GB2312"/>
          <w:b/>
          <w:sz w:val="32"/>
          <w:szCs w:val="32"/>
          <w:highlight w:val="none"/>
        </w:rPr>
      </w:pPr>
      <w:bookmarkStart w:id="249" w:name="_Toc18533"/>
      <w:bookmarkStart w:id="250" w:name="_Toc31501"/>
      <w:bookmarkStart w:id="251" w:name="_Toc9077"/>
      <w:bookmarkStart w:id="252" w:name="_Toc23495"/>
      <w:bookmarkStart w:id="253" w:name="_Toc21043"/>
      <w:bookmarkStart w:id="254" w:name="_Toc18121"/>
      <w:r>
        <w:rPr>
          <w:rFonts w:hint="eastAsia" w:ascii="仿宋_GB2312" w:eastAsia="仿宋_GB2312"/>
          <w:b/>
          <w:sz w:val="32"/>
          <w:szCs w:val="32"/>
          <w:highlight w:val="none"/>
        </w:rPr>
        <w:t>四、签订合同</w:t>
      </w:r>
      <w:bookmarkEnd w:id="249"/>
      <w:bookmarkEnd w:id="250"/>
      <w:bookmarkEnd w:id="251"/>
      <w:bookmarkEnd w:id="252"/>
      <w:bookmarkEnd w:id="253"/>
      <w:bookmarkEnd w:id="254"/>
    </w:p>
    <w:p>
      <w:pPr>
        <w:keepNext w:val="0"/>
        <w:keepLines w:val="0"/>
        <w:widowControl w:val="0"/>
        <w:kinsoku/>
        <w:wordWrap/>
        <w:overflowPunct/>
        <w:topLinePunct w:val="0"/>
        <w:autoSpaceDE/>
        <w:autoSpaceDN/>
        <w:bidi w:val="0"/>
        <w:adjustRightInd/>
        <w:spacing w:line="560" w:lineRule="exact"/>
        <w:ind w:firstLine="640" w:firstLineChars="200"/>
        <w:textAlignment w:val="auto"/>
        <w:outlineLvl w:val="2"/>
        <w:rPr>
          <w:rFonts w:ascii="仿宋_GB2312" w:eastAsia="仿宋_GB2312"/>
          <w:sz w:val="32"/>
          <w:szCs w:val="32"/>
          <w:highlight w:val="none"/>
        </w:rPr>
      </w:pPr>
      <w:bookmarkStart w:id="255" w:name="_Toc4366"/>
      <w:bookmarkStart w:id="256" w:name="_Toc18542"/>
      <w:r>
        <w:rPr>
          <w:rFonts w:hint="eastAsia" w:ascii="仿宋_GB2312" w:eastAsia="仿宋_GB2312"/>
          <w:sz w:val="32"/>
          <w:szCs w:val="32"/>
          <w:highlight w:val="none"/>
        </w:rPr>
        <w:t>（一）签约</w:t>
      </w:r>
      <w:bookmarkEnd w:id="255"/>
      <w:bookmarkEnd w:id="256"/>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1.成交供应商按《成交通知书》指定的时间、地点与询价采购人签订合同</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供应商拒绝签订合同的，采购人有权没收其保证金并列如不良行为记录。</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2.询价采购文件、成交供应商的响应文件及澄清文件等，均为签订询价采购合同的依据，所签订的合同不得对询价采购文件和成交供应商的响应文件作实质性修改。</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3.中标方</w:t>
      </w:r>
      <w:r>
        <w:rPr>
          <w:rFonts w:hint="eastAsia" w:ascii="仿宋_GB2312" w:eastAsia="仿宋_GB2312"/>
          <w:b/>
          <w:bCs/>
          <w:sz w:val="32"/>
          <w:szCs w:val="32"/>
          <w:highlight w:val="none"/>
        </w:rPr>
        <w:t>竞价保证金</w:t>
      </w:r>
      <w:r>
        <w:rPr>
          <w:rFonts w:hint="eastAsia" w:ascii="仿宋_GB2312" w:eastAsia="仿宋_GB2312"/>
          <w:b/>
          <w:bCs/>
          <w:sz w:val="32"/>
          <w:szCs w:val="32"/>
          <w:highlight w:val="none"/>
          <w:lang w:val="en-US" w:eastAsia="zh-CN"/>
        </w:rPr>
        <w:t>叁</w:t>
      </w:r>
      <w:r>
        <w:rPr>
          <w:rFonts w:hint="eastAsia" w:ascii="仿宋_GB2312" w:eastAsia="仿宋_GB2312"/>
          <w:b/>
          <w:bCs/>
          <w:sz w:val="32"/>
          <w:szCs w:val="32"/>
          <w:highlight w:val="none"/>
        </w:rPr>
        <w:t>万元整自动转为履约保证金</w:t>
      </w:r>
      <w:r>
        <w:rPr>
          <w:rFonts w:hint="eastAsia" w:ascii="仿宋_GB2312" w:eastAsia="仿宋_GB2312"/>
          <w:sz w:val="32"/>
          <w:szCs w:val="32"/>
          <w:highlight w:val="none"/>
        </w:rPr>
        <w:t>，合同履行完成后</w:t>
      </w:r>
      <w:r>
        <w:rPr>
          <w:rFonts w:hint="eastAsia" w:ascii="仿宋_GB2312" w:eastAsia="仿宋_GB2312"/>
          <w:sz w:val="32"/>
          <w:szCs w:val="32"/>
          <w:highlight w:val="none"/>
          <w:lang w:val="en-US" w:eastAsia="zh-CN"/>
        </w:rPr>
        <w:t>且中选方无违约情形，保证金</w:t>
      </w:r>
      <w:r>
        <w:rPr>
          <w:rFonts w:hint="eastAsia" w:ascii="仿宋_GB2312" w:eastAsia="仿宋_GB2312"/>
          <w:sz w:val="32"/>
          <w:szCs w:val="32"/>
          <w:highlight w:val="none"/>
        </w:rPr>
        <w:t>无息退还。</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4.合同生效条款由甲乙双方约定，法律、行政法规规定应当办理批准、登记等手续后生效的合同，依照其规定。</w:t>
      </w:r>
    </w:p>
    <w:p>
      <w:pPr>
        <w:keepNext w:val="0"/>
        <w:keepLines w:val="0"/>
        <w:widowControl w:val="0"/>
        <w:kinsoku/>
        <w:wordWrap/>
        <w:overflowPunct/>
        <w:topLinePunct w:val="0"/>
        <w:autoSpaceDE/>
        <w:autoSpaceDN/>
        <w:bidi w:val="0"/>
        <w:adjustRightInd/>
        <w:spacing w:line="560" w:lineRule="exact"/>
        <w:ind w:firstLine="640" w:firstLineChars="200"/>
        <w:textAlignment w:val="auto"/>
        <w:rPr>
          <w:highlight w:val="none"/>
        </w:rPr>
      </w:pPr>
      <w:bookmarkStart w:id="257" w:name="_Toc9737"/>
      <w:r>
        <w:rPr>
          <w:rFonts w:hint="eastAsia" w:ascii="仿宋_GB2312" w:eastAsia="仿宋_GB2312"/>
          <w:sz w:val="32"/>
          <w:szCs w:val="32"/>
          <w:highlight w:val="none"/>
        </w:rPr>
        <w:t>5.合同</w:t>
      </w:r>
      <w:r>
        <w:rPr>
          <w:rFonts w:hint="eastAsia" w:ascii="仿宋_GB2312" w:eastAsia="仿宋_GB2312"/>
          <w:sz w:val="32"/>
          <w:szCs w:val="32"/>
          <w:highlight w:val="none"/>
          <w:lang w:val="en-US" w:eastAsia="zh-CN"/>
        </w:rPr>
        <w:t>参照</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旋转桶式活动护栏</w:t>
      </w:r>
      <w:r>
        <w:rPr>
          <w:rFonts w:hint="eastAsia" w:ascii="仿宋_GB2312" w:hAnsi="仿宋_GB2312" w:eastAsia="仿宋_GB2312" w:cs="仿宋_GB2312"/>
          <w:sz w:val="32"/>
          <w:szCs w:val="32"/>
          <w:highlight w:val="none"/>
          <w:lang w:val="en-US" w:eastAsia="zh-CN"/>
        </w:rPr>
        <w:t>拼装及配送劳务服务</w:t>
      </w:r>
      <w:r>
        <w:rPr>
          <w:rFonts w:hint="eastAsia" w:ascii="仿宋_GB2312" w:eastAsia="仿宋_GB2312"/>
          <w:sz w:val="32"/>
          <w:szCs w:val="32"/>
          <w:highlight w:val="none"/>
          <w:lang w:val="en-US" w:eastAsia="zh-CN"/>
        </w:rPr>
        <w:t>合同</w:t>
      </w:r>
      <w:r>
        <w:rPr>
          <w:rFonts w:hint="eastAsia" w:ascii="仿宋_GB2312" w:eastAsia="仿宋_GB2312"/>
          <w:sz w:val="32"/>
          <w:szCs w:val="32"/>
          <w:highlight w:val="none"/>
        </w:rPr>
        <w:t>》签订。</w:t>
      </w:r>
      <w:bookmarkEnd w:id="214"/>
      <w:bookmarkEnd w:id="215"/>
      <w:bookmarkEnd w:id="216"/>
      <w:bookmarkEnd w:id="217"/>
      <w:bookmarkEnd w:id="257"/>
      <w:bookmarkStart w:id="258" w:name="_Toc122257621"/>
      <w:bookmarkStart w:id="259" w:name="_Toc122750647"/>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p>
    <w:p>
      <w:pPr>
        <w:keepNext w:val="0"/>
        <w:keepLines w:val="0"/>
        <w:widowControl w:val="0"/>
        <w:kinsoku/>
        <w:wordWrap/>
        <w:overflowPunct/>
        <w:topLinePunct w:val="0"/>
        <w:autoSpaceDE/>
        <w:autoSpaceDN/>
        <w:bidi w:val="0"/>
        <w:adjustRightInd/>
        <w:spacing w:line="560" w:lineRule="exact"/>
        <w:textAlignment w:val="auto"/>
        <w:rPr>
          <w:highlight w:val="none"/>
        </w:rPr>
      </w:pPr>
      <w:bookmarkStart w:id="260" w:name="_Toc534883407"/>
      <w:bookmarkStart w:id="261" w:name="_Toc534883365"/>
    </w:p>
    <w:p>
      <w:pPr>
        <w:keepNext w:val="0"/>
        <w:keepLines w:val="0"/>
        <w:pageBreakBefore/>
        <w:widowControl w:val="0"/>
        <w:kinsoku/>
        <w:wordWrap/>
        <w:overflowPunct/>
        <w:topLinePunct w:val="0"/>
        <w:autoSpaceDE/>
        <w:autoSpaceDN/>
        <w:bidi w:val="0"/>
        <w:adjustRightInd/>
        <w:spacing w:line="560" w:lineRule="exact"/>
        <w:jc w:val="center"/>
        <w:textAlignment w:val="auto"/>
        <w:outlineLvl w:val="0"/>
        <w:rPr>
          <w:rFonts w:hint="eastAsia" w:ascii="黑体" w:hAnsi="黑体" w:eastAsia="黑体" w:cs="黑体"/>
          <w:sz w:val="44"/>
          <w:szCs w:val="44"/>
          <w:highlight w:val="none"/>
        </w:rPr>
      </w:pPr>
      <w:bookmarkStart w:id="262" w:name="_Toc10919"/>
      <w:bookmarkStart w:id="263" w:name="_Toc18553"/>
      <w:bookmarkStart w:id="264" w:name="_Toc20180"/>
      <w:bookmarkStart w:id="265" w:name="_Toc32179"/>
      <w:bookmarkStart w:id="266" w:name="_Toc18537"/>
      <w:bookmarkStart w:id="267" w:name="_Toc32007"/>
      <w:bookmarkStart w:id="268" w:name="_Toc26283"/>
      <w:bookmarkStart w:id="269" w:name="_Toc26828"/>
      <w:bookmarkStart w:id="270" w:name="_Toc21200"/>
      <w:bookmarkStart w:id="271" w:name="_Toc17366"/>
      <w:bookmarkStart w:id="272" w:name="_Toc13390"/>
      <w:r>
        <w:rPr>
          <w:rFonts w:hint="eastAsia" w:ascii="黑体" w:hAnsi="黑体" w:eastAsia="黑体" w:cs="黑体"/>
          <w:sz w:val="44"/>
          <w:szCs w:val="44"/>
          <w:highlight w:val="none"/>
        </w:rPr>
        <w:t>第六篇  合同主要条款、合同</w:t>
      </w:r>
      <w:bookmarkEnd w:id="258"/>
      <w:r>
        <w:rPr>
          <w:rFonts w:hint="eastAsia" w:ascii="黑体" w:hAnsi="黑体" w:eastAsia="黑体" w:cs="黑体"/>
          <w:sz w:val="44"/>
          <w:szCs w:val="44"/>
          <w:highlight w:val="none"/>
        </w:rPr>
        <w:t>格式</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keepNext w:val="0"/>
        <w:keepLines w:val="0"/>
        <w:widowControl w:val="0"/>
        <w:kinsoku/>
        <w:wordWrap/>
        <w:overflowPunct/>
        <w:topLinePunct w:val="0"/>
        <w:autoSpaceDE/>
        <w:autoSpaceDN/>
        <w:bidi w:val="0"/>
        <w:adjustRightInd/>
        <w:spacing w:line="560" w:lineRule="exact"/>
        <w:jc w:val="center"/>
        <w:textAlignment w:val="auto"/>
        <w:rPr>
          <w:rFonts w:ascii="仿宋_GB2312" w:hAnsi="仿宋_GB2312" w:eastAsia="仿宋_GB2312" w:cs="仿宋_GB2312"/>
          <w:b/>
          <w:sz w:val="32"/>
          <w:szCs w:val="32"/>
          <w:highlight w:val="none"/>
        </w:rPr>
      </w:pPr>
      <w:bookmarkStart w:id="273" w:name="_Toc508286681"/>
    </w:p>
    <w:p>
      <w:pPr>
        <w:keepNext w:val="0"/>
        <w:keepLines w:val="0"/>
        <w:widowControl w:val="0"/>
        <w:kinsoku/>
        <w:wordWrap/>
        <w:overflowPunct/>
        <w:topLinePunct w:val="0"/>
        <w:autoSpaceDE/>
        <w:autoSpaceDN/>
        <w:bidi w:val="0"/>
        <w:adjustRightInd/>
        <w:spacing w:line="560" w:lineRule="exact"/>
        <w:jc w:val="center"/>
        <w:textAlignment w:val="auto"/>
        <w:outlineLvl w:val="1"/>
        <w:rPr>
          <w:rFonts w:ascii="仿宋_GB2312" w:hAnsi="仿宋_GB2312" w:eastAsia="仿宋_GB2312" w:cs="仿宋_GB2312"/>
          <w:b/>
          <w:sz w:val="44"/>
          <w:szCs w:val="44"/>
          <w:highlight w:val="none"/>
        </w:rPr>
      </w:pPr>
      <w:bookmarkStart w:id="274" w:name="_Toc12202"/>
      <w:bookmarkStart w:id="275" w:name="_Toc27722"/>
      <w:bookmarkStart w:id="276" w:name="_Toc32687"/>
      <w:bookmarkStart w:id="277" w:name="_Toc15058"/>
      <w:bookmarkStart w:id="278" w:name="_Toc7977"/>
      <w:bookmarkStart w:id="279" w:name="_Toc27803"/>
      <w:r>
        <w:rPr>
          <w:rFonts w:hint="eastAsia" w:ascii="仿宋_GB2312" w:hAnsi="仿宋_GB2312" w:eastAsia="仿宋_GB2312" w:cs="仿宋_GB2312"/>
          <w:b/>
          <w:sz w:val="44"/>
          <w:szCs w:val="44"/>
          <w:highlight w:val="none"/>
          <w:lang w:val="en-US" w:eastAsia="zh-CN"/>
        </w:rPr>
        <w:t>旋转桶式活动护栏拼装及配送劳务服务</w:t>
      </w:r>
      <w:r>
        <w:rPr>
          <w:rFonts w:hint="eastAsia" w:ascii="仿宋_GB2312" w:hAnsi="仿宋_GB2312" w:eastAsia="仿宋_GB2312" w:cs="仿宋_GB2312"/>
          <w:b/>
          <w:sz w:val="44"/>
          <w:szCs w:val="44"/>
          <w:highlight w:val="none"/>
        </w:rPr>
        <w:t>合同</w:t>
      </w:r>
      <w:bookmarkEnd w:id="274"/>
      <w:bookmarkEnd w:id="275"/>
      <w:bookmarkEnd w:id="276"/>
      <w:bookmarkEnd w:id="277"/>
      <w:bookmarkEnd w:id="278"/>
      <w:bookmarkEnd w:id="279"/>
    </w:p>
    <w:p>
      <w:pPr>
        <w:keepNext w:val="0"/>
        <w:keepLines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widowControl w:val="0"/>
        <w:kinsoku/>
        <w:wordWrap/>
        <w:overflowPunct/>
        <w:topLinePunct w:val="0"/>
        <w:autoSpaceDE/>
        <w:autoSpaceDN/>
        <w:bidi w:val="0"/>
        <w:adjustRightInd/>
        <w:spacing w:line="560" w:lineRule="exact"/>
        <w:jc w:val="center"/>
        <w:textAlignment w:val="auto"/>
        <w:rPr>
          <w:rFonts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 xml:space="preserve">合同编号：        </w:t>
      </w:r>
    </w:p>
    <w:p>
      <w:pPr>
        <w:keepNext w:val="0"/>
        <w:keepLines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rPr>
      </w:pPr>
    </w:p>
    <w:p>
      <w:pPr>
        <w:keepNext w:val="0"/>
        <w:keepLines w:val="0"/>
        <w:widowControl w:val="0"/>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福路通资源循环（福建）有限公司</w:t>
      </w:r>
      <w:r>
        <w:rPr>
          <w:rFonts w:ascii="仿宋_GB2312" w:hAnsi="仿宋_GB2312" w:eastAsia="仿宋_GB2312" w:cs="仿宋_GB2312"/>
          <w:sz w:val="32"/>
          <w:szCs w:val="32"/>
          <w:highlight w:val="none"/>
        </w:rPr>
        <w:t xml:space="preserve">                                   </w:t>
      </w:r>
    </w:p>
    <w:p>
      <w:pPr>
        <w:keepNext w:val="0"/>
        <w:keepLines w:val="0"/>
        <w:widowControl w:val="0"/>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            </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福路通资源循环（福建）有限公司</w:t>
      </w:r>
      <w:r>
        <w:rPr>
          <w:rFonts w:hint="eastAsia" w:ascii="仿宋_GB2312" w:hAnsi="仿宋_GB2312" w:eastAsia="仿宋_GB2312" w:cs="仿宋_GB2312"/>
          <w:sz w:val="32"/>
          <w:szCs w:val="32"/>
          <w:highlight w:val="none"/>
        </w:rPr>
        <w:t>（发包人名称，以下简称“甲方”）为</w:t>
      </w:r>
      <w:r>
        <w:rPr>
          <w:rFonts w:hint="eastAsia" w:ascii="仿宋_GB2312" w:hAnsi="仿宋_GB2312" w:eastAsia="仿宋_GB2312" w:cs="仿宋_GB2312"/>
          <w:sz w:val="32"/>
          <w:szCs w:val="32"/>
          <w:highlight w:val="none"/>
          <w:lang w:val="en-US" w:eastAsia="zh-CN"/>
        </w:rPr>
        <w:t>中央分隔带开口旋转桶式活动护栏的拼装及配送劳务服务</w:t>
      </w:r>
      <w:r>
        <w:rPr>
          <w:rFonts w:hint="eastAsia" w:ascii="仿宋_GB2312" w:hAnsi="仿宋_GB2312" w:eastAsia="仿宋_GB2312" w:cs="仿宋_GB2312"/>
          <w:sz w:val="32"/>
          <w:szCs w:val="32"/>
          <w:highlight w:val="none"/>
        </w:rPr>
        <w:t>，已接受（承包人名称，以下简称“乙方”）对该项目的响应文件。甲乙双方本着平等互利、自愿合作的原则，经友好协商，根据《合同法》及相关法律法规的规定，达成如下协议，以资共同遵守。</w:t>
      </w:r>
    </w:p>
    <w:p>
      <w:pPr>
        <w:keepNext w:val="0"/>
        <w:keepLines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一、根据甲方委托，乙方提供</w:t>
      </w:r>
      <w:r>
        <w:rPr>
          <w:rFonts w:hint="eastAsia" w:ascii="仿宋_GB2312" w:hAnsi="仿宋_GB2312" w:eastAsia="仿宋_GB2312" w:cs="仿宋_GB2312"/>
          <w:b/>
          <w:bCs/>
          <w:sz w:val="32"/>
          <w:szCs w:val="32"/>
          <w:highlight w:val="none"/>
          <w:lang w:val="en-US" w:eastAsia="zh-CN"/>
        </w:rPr>
        <w:t>中央分隔带开口旋转桶式活动护栏的拼装及配送劳务服务</w:t>
      </w:r>
      <w:r>
        <w:rPr>
          <w:rFonts w:hint="eastAsia" w:ascii="仿宋_GB2312" w:hAnsi="仿宋_GB2312" w:eastAsia="仿宋_GB2312" w:cs="仿宋_GB2312"/>
          <w:b/>
          <w:bCs/>
          <w:sz w:val="32"/>
          <w:szCs w:val="32"/>
          <w:highlight w:val="none"/>
        </w:rPr>
        <w:t>。项目地点</w:t>
      </w:r>
      <w:r>
        <w:rPr>
          <w:rFonts w:hint="eastAsia" w:ascii="仿宋_GB2312" w:hAnsi="仿宋_GB2312" w:eastAsia="仿宋_GB2312" w:cs="仿宋_GB2312"/>
          <w:b/>
          <w:bCs/>
          <w:sz w:val="32"/>
          <w:szCs w:val="32"/>
          <w:highlight w:val="none"/>
          <w:lang w:val="en-US" w:eastAsia="zh-CN"/>
        </w:rPr>
        <w:t>为宁德古田工厂</w:t>
      </w:r>
      <w:r>
        <w:rPr>
          <w:rFonts w:hint="eastAsia" w:ascii="仿宋_GB2312" w:hAnsi="仿宋_GB2312" w:eastAsia="仿宋_GB2312" w:cs="仿宋_GB2312"/>
          <w:b/>
          <w:bCs/>
          <w:sz w:val="32"/>
          <w:szCs w:val="32"/>
          <w:highlight w:val="none"/>
        </w:rPr>
        <w:t>（如有新增</w:t>
      </w:r>
      <w:r>
        <w:rPr>
          <w:rFonts w:hint="eastAsia" w:ascii="仿宋_GB2312" w:hAnsi="仿宋_GB2312" w:eastAsia="仿宋_GB2312" w:cs="仿宋_GB2312"/>
          <w:b/>
          <w:bCs/>
          <w:sz w:val="32"/>
          <w:szCs w:val="32"/>
          <w:highlight w:val="none"/>
          <w:lang w:val="en-US" w:eastAsia="zh-CN"/>
        </w:rPr>
        <w:t>护栏拼装及配送则</w:t>
      </w:r>
      <w:r>
        <w:rPr>
          <w:rFonts w:hint="eastAsia" w:ascii="仿宋_GB2312" w:hAnsi="仿宋_GB2312" w:eastAsia="仿宋_GB2312" w:cs="仿宋_GB2312"/>
          <w:b/>
          <w:bCs/>
          <w:sz w:val="32"/>
          <w:szCs w:val="32"/>
          <w:highlight w:val="none"/>
        </w:rPr>
        <w:t>按本项目单价，以实际完成数量为准）。</w:t>
      </w:r>
    </w:p>
    <w:p>
      <w:pPr>
        <w:keepNext w:val="0"/>
        <w:keepLines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二、下列文件应视为构成合同文件的组成部分：</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本协议书及各种合同附件（含评标期间和合同谈判过程中的澄清文件和补充资料）；</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中选通知书；</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投标函（文件）及投标函（文件）附录；</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承包人有关人员、设备投入的承诺；</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其他合同文件。上述合同文件互相补充和解释。如果合同文件之间存在矛盾或不一致之处，以上述文件的排列顺序在先者为准。</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中华人民共和国民法典</w:t>
      </w:r>
      <w:r>
        <w:rPr>
          <w:rFonts w:hint="eastAsia" w:ascii="仿宋_GB2312" w:hAnsi="仿宋_GB2312" w:eastAsia="仿宋_GB2312" w:cs="仿宋_GB2312"/>
          <w:sz w:val="32"/>
          <w:szCs w:val="32"/>
          <w:highlight w:val="none"/>
        </w:rPr>
        <w:t>》的有关规定，经甲乙双方协商，甲方同意由乙方提供</w:t>
      </w:r>
      <w:r>
        <w:rPr>
          <w:rFonts w:hint="eastAsia" w:ascii="仿宋_GB2312" w:hAnsi="仿宋_GB2312" w:eastAsia="仿宋_GB2312" w:cs="仿宋_GB2312"/>
          <w:sz w:val="32"/>
          <w:szCs w:val="32"/>
          <w:highlight w:val="none"/>
          <w:lang w:val="en-US" w:eastAsia="zh-CN"/>
        </w:rPr>
        <w:t>中央分隔带开口旋转桶式活动护栏的拼装及配送劳务服务</w:t>
      </w:r>
      <w:r>
        <w:rPr>
          <w:rFonts w:hint="eastAsia" w:ascii="仿宋_GB2312" w:hAnsi="仿宋_GB2312" w:eastAsia="仿宋_GB2312" w:cs="仿宋_GB2312"/>
          <w:sz w:val="32"/>
          <w:szCs w:val="32"/>
          <w:highlight w:val="none"/>
        </w:rPr>
        <w:t>，为明确双方权利与义务，特签订如下条款，供双方共同遵守。</w:t>
      </w:r>
    </w:p>
    <w:p>
      <w:pPr>
        <w:keepNext w:val="0"/>
        <w:keepLines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highlight w:val="none"/>
        </w:rPr>
      </w:pPr>
      <w:bookmarkStart w:id="280" w:name="_Toc18232"/>
      <w:bookmarkStart w:id="281" w:name="_Toc11720"/>
      <w:bookmarkStart w:id="282" w:name="_Toc14213"/>
      <w:bookmarkStart w:id="283" w:name="_Toc16793"/>
      <w:bookmarkStart w:id="284" w:name="_Toc1910"/>
      <w:bookmarkStart w:id="285" w:name="_Toc25783"/>
      <w:r>
        <w:rPr>
          <w:rFonts w:hint="eastAsia" w:ascii="仿宋_GB2312" w:hAnsi="仿宋_GB2312" w:eastAsia="仿宋_GB2312" w:cs="仿宋_GB2312"/>
          <w:b/>
          <w:bCs/>
          <w:sz w:val="32"/>
          <w:szCs w:val="32"/>
          <w:highlight w:val="none"/>
        </w:rPr>
        <w:t>三、施工协作范围与要求</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（一）范围：</w:t>
      </w:r>
      <w:r>
        <w:rPr>
          <w:rFonts w:hint="eastAsia" w:ascii="仿宋_GB2312" w:hAnsi="仿宋_GB2312" w:eastAsia="仿宋_GB2312" w:cs="仿宋_GB2312"/>
          <w:sz w:val="32"/>
          <w:szCs w:val="32"/>
          <w:highlight w:val="none"/>
          <w:lang w:val="en-US" w:eastAsia="zh-CN"/>
        </w:rPr>
        <w:t>宁德古田工厂及各路段站点</w:t>
      </w:r>
    </w:p>
    <w:p>
      <w:pPr>
        <w:pStyle w:val="2"/>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主要内容包括：</w:t>
      </w:r>
      <w:r>
        <w:rPr>
          <w:rFonts w:hint="eastAsia" w:ascii="仿宋_GB2312" w:hAnsi="仿宋_GB2312" w:eastAsia="仿宋_GB2312" w:cs="仿宋_GB2312"/>
          <w:color w:val="000000"/>
          <w:kern w:val="2"/>
          <w:sz w:val="32"/>
          <w:szCs w:val="32"/>
          <w:highlight w:val="none"/>
          <w:lang w:val="en-US" w:eastAsia="zh-CN" w:bidi="ar-SA"/>
        </w:rPr>
        <w:t>中央分隔带开口旋转桶式活动护栏的在宁德古田拼装，根据设计图纸拼装完好产品。同时负责把中央分隔带开口旋转桶式活动护栏产品从宁德古田加工厂配送到宁德高速各站点，包含拼装、运输、装卸等工作。</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（二）技术要求：</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1.乙方在工作期间必须服从甲方提出的合理要求，严格执行甲方合理要求。</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2.车辆、人员的配备满足询价文件的要求。</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3.乙方必须按照设计图纸组织施工，并接受甲方的检查及监督，保证工程质量达到相关规范要求。</w:t>
      </w:r>
    </w:p>
    <w:p>
      <w:pPr>
        <w:pStyle w:val="22"/>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4.中央分隔带开口旋转桶式活动护栏拼装和使用须满足《公路交通安全设施设计规范》(JTGD81-2017)和《公路交通安全设施设计细则》(JTG/TD81-2017)相关要求；</w:t>
      </w:r>
    </w:p>
    <w:p>
      <w:pPr>
        <w:keepNext w:val="0"/>
        <w:keepLines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四、双方的权利及义务</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（一）甲方的权利及义务</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提供相关活动护栏施工的有关资料（如施工图等）、确保满足现场施工要求，同时协调与业主、监理的有关工作事项。</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甲方应按本合同约定的时间进行工程结算并支付工程款，否则应承担违约责任。</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负责组织技术人员现场指导、监督施工。</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负责制定与本项目施工有关的管理制度。</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甲方为保证工程质量及进度，有权要求乙方增加人员机械等措施。</w:t>
      </w:r>
    </w:p>
    <w:p>
      <w:pPr>
        <w:keepNext w:val="0"/>
        <w:keepLines w:val="0"/>
        <w:widowControl w:val="0"/>
        <w:kinsoku/>
        <w:wordWrap/>
        <w:overflowPunct/>
        <w:topLinePunct w:val="0"/>
        <w:autoSpaceDE/>
        <w:autoSpaceDN/>
        <w:bidi w:val="0"/>
        <w:adjustRightInd/>
        <w:spacing w:line="560" w:lineRule="exact"/>
        <w:ind w:firstLine="60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2"/>
          <w:szCs w:val="32"/>
          <w:highlight w:val="none"/>
        </w:rPr>
        <w:t>甲方有权对乙方违反合同条款内容实施处罚和经济赔偿,对乙方不胜任项目工作的人员以及不满足工作需要的车辆及设备提出更换。甲方以函件形式提出的合理要求,乙方若不执行,一次处罚1万元,金额从合同款或者履约担保金中扣除;若超过两次不执行,甲方有权终止本合同,并要求乙方承担由此造成的一切损失。</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（二）乙方的权利及义务</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乙方为甲方提供性能良好的设备和专业的技术人员,至少安排一个现场负责人带队开展施工工作,如遇工期紧,需赶工时,乙方应无条件增派现场技术人员配合甲方,以满足施工工期要求。</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遵守甲方各项管理制度，服从现场工作指令。</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根据双方协调的施工内容、要求和国家有关规范进行施工，必须采用国家标准合格的材料施工。</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乙方应按时完工并对质量负责，若因乙方施工质量问题而造成验收不合格，乙方应无偿返工直至合格为止，由此产生的一切费用由乙方自行承担。</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5.做好安全文明施工，施工期内负责安全施工的一切责任。</w:t>
      </w:r>
    </w:p>
    <w:p>
      <w:pPr>
        <w:keepNext w:val="0"/>
        <w:keepLines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6.乙方必须在合同签订前需为所有投入人员办理个人不少于100万的人身意外保险。</w:t>
      </w:r>
    </w:p>
    <w:p>
      <w:pPr>
        <w:keepNext w:val="0"/>
        <w:keepLines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五、协作服务费用及结算方式</w:t>
      </w:r>
    </w:p>
    <w:p>
      <w:pPr>
        <w:keepNext w:val="0"/>
        <w:keepLines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（一）工程量清单</w:t>
      </w:r>
    </w:p>
    <w:tbl>
      <w:tblPr>
        <w:tblStyle w:val="31"/>
        <w:tblW w:w="5000" w:type="pct"/>
        <w:jc w:val="center"/>
        <w:tblLayout w:type="autofit"/>
        <w:tblCellMar>
          <w:top w:w="0" w:type="dxa"/>
          <w:left w:w="108" w:type="dxa"/>
          <w:bottom w:w="0" w:type="dxa"/>
          <w:right w:w="108" w:type="dxa"/>
        </w:tblCellMar>
      </w:tblPr>
      <w:tblGrid>
        <w:gridCol w:w="698"/>
        <w:gridCol w:w="2468"/>
        <w:gridCol w:w="694"/>
        <w:gridCol w:w="1292"/>
        <w:gridCol w:w="1306"/>
        <w:gridCol w:w="1294"/>
        <w:gridCol w:w="1308"/>
      </w:tblGrid>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single" w:color="000000" w:sz="8" w:space="0"/>
              <w:right w:val="nil"/>
            </w:tcBorders>
            <w:noWrap w:val="0"/>
            <w:vAlign w:val="center"/>
          </w:tcPr>
          <w:p>
            <w:pPr>
              <w:widowControl/>
              <w:jc w:val="center"/>
              <w:textAlignment w:val="center"/>
              <w:rPr>
                <w:rFonts w:hint="eastAsia" w:ascii="仿宋_GB2312" w:hAnsi="仿宋_GB2312" w:eastAsia="仿宋_GB2312" w:cs="仿宋_GB2312"/>
                <w:b/>
                <w:bCs/>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385" w:type="pct"/>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序号</w:t>
            </w:r>
          </w:p>
        </w:tc>
        <w:tc>
          <w:tcPr>
            <w:tcW w:w="136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工程或费用名称</w:t>
            </w:r>
          </w:p>
        </w:tc>
        <w:tc>
          <w:tcPr>
            <w:tcW w:w="38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单位</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工程数量</w:t>
            </w:r>
          </w:p>
        </w:tc>
        <w:tc>
          <w:tcPr>
            <w:tcW w:w="720"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单价（元</w:t>
            </w:r>
            <w:r>
              <w:rPr>
                <w:rFonts w:hint="eastAsia" w:ascii="仿宋_GB2312" w:hAnsi="仿宋_GB2312" w:eastAsia="仿宋_GB2312" w:cs="仿宋_GB2312"/>
                <w:color w:val="000000"/>
                <w:kern w:val="0"/>
                <w:sz w:val="32"/>
                <w:szCs w:val="32"/>
                <w:highlight w:val="none"/>
                <w:lang w:val="en-US" w:eastAsia="zh-CN" w:bidi="ar"/>
              </w:rPr>
              <w:t>/米</w:t>
            </w:r>
            <w:r>
              <w:rPr>
                <w:rFonts w:hint="eastAsia" w:ascii="仿宋_GB2312" w:hAnsi="仿宋_GB2312" w:eastAsia="仿宋_GB2312" w:cs="仿宋_GB2312"/>
                <w:color w:val="000000"/>
                <w:kern w:val="0"/>
                <w:sz w:val="32"/>
                <w:szCs w:val="32"/>
                <w:highlight w:val="none"/>
                <w:lang w:bidi="ar"/>
              </w:rPr>
              <w:t>）</w:t>
            </w:r>
          </w:p>
        </w:tc>
        <w:tc>
          <w:tcPr>
            <w:tcW w:w="714"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金额（元）</w:t>
            </w:r>
          </w:p>
        </w:tc>
        <w:tc>
          <w:tcPr>
            <w:tcW w:w="72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备注</w:t>
            </w:r>
          </w:p>
        </w:tc>
      </w:tr>
      <w:tr>
        <w:tblPrEx>
          <w:tblCellMar>
            <w:top w:w="0" w:type="dxa"/>
            <w:left w:w="108" w:type="dxa"/>
            <w:bottom w:w="0" w:type="dxa"/>
            <w:right w:w="108" w:type="dxa"/>
          </w:tblCellMar>
        </w:tblPrEx>
        <w:trPr>
          <w:trHeight w:val="567" w:hRule="atLeast"/>
          <w:jc w:val="center"/>
        </w:trPr>
        <w:tc>
          <w:tcPr>
            <w:tcW w:w="385" w:type="pc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1</w:t>
            </w:r>
          </w:p>
        </w:tc>
        <w:tc>
          <w:tcPr>
            <w:tcW w:w="136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中央分隔带开口旋转桶式活动护栏的拼装及配送</w:t>
            </w:r>
          </w:p>
        </w:tc>
        <w:tc>
          <w:tcPr>
            <w:tcW w:w="38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米</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6000</w:t>
            </w:r>
          </w:p>
        </w:tc>
        <w:tc>
          <w:tcPr>
            <w:tcW w:w="720"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p>
        </w:tc>
        <w:tc>
          <w:tcPr>
            <w:tcW w:w="714"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1"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3564" w:type="pct"/>
            <w:gridSpan w:val="5"/>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w:t>
            </w:r>
          </w:p>
        </w:tc>
        <w:tc>
          <w:tcPr>
            <w:tcW w:w="714"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1"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nil"/>
              <w:right w:val="nil"/>
            </w:tcBorders>
            <w:noWrap w:val="0"/>
            <w:vAlign w:val="center"/>
          </w:tcPr>
          <w:p>
            <w:pPr>
              <w:widowControl/>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bidi="ar"/>
              </w:rPr>
              <w:t>备注：1</w:t>
            </w:r>
            <w:r>
              <w:rPr>
                <w:rFonts w:hint="eastAsia"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bidi="ar"/>
              </w:rPr>
              <w:t>包含直接费用、间接费用、利润、税收等一切相关费用。</w:t>
            </w:r>
          </w:p>
          <w:p>
            <w:pPr>
              <w:widowControl/>
              <w:numPr>
                <w:ilvl w:val="0"/>
                <w:numId w:val="0"/>
              </w:numPr>
              <w:ind w:firstLine="840" w:firstLineChars="300"/>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2.</w:t>
            </w:r>
            <w:r>
              <w:rPr>
                <w:rFonts w:hint="eastAsia" w:ascii="仿宋_GB2312" w:hAnsi="仿宋_GB2312" w:eastAsia="仿宋_GB2312" w:cs="仿宋_GB2312"/>
                <w:b w:val="0"/>
                <w:bCs w:val="0"/>
                <w:color w:val="000000"/>
                <w:kern w:val="0"/>
                <w:sz w:val="28"/>
                <w:szCs w:val="28"/>
                <w:highlight w:val="none"/>
                <w:lang w:bidi="ar"/>
              </w:rPr>
              <w:t>本项目为</w:t>
            </w:r>
            <w:r>
              <w:rPr>
                <w:rFonts w:hint="eastAsia" w:ascii="仿宋_GB2312" w:hAnsi="仿宋_GB2312" w:eastAsia="仿宋_GB2312" w:cs="仿宋_GB2312"/>
                <w:b w:val="0"/>
                <w:bCs w:val="0"/>
                <w:color w:val="000000"/>
                <w:kern w:val="0"/>
                <w:sz w:val="28"/>
                <w:szCs w:val="28"/>
                <w:highlight w:val="none"/>
                <w:lang w:eastAsia="zh-CN" w:bidi="ar"/>
              </w:rPr>
              <w:t>单价</w:t>
            </w:r>
            <w:r>
              <w:rPr>
                <w:rFonts w:hint="eastAsia" w:ascii="仿宋_GB2312" w:hAnsi="仿宋_GB2312" w:eastAsia="仿宋_GB2312" w:cs="仿宋_GB2312"/>
                <w:b w:val="0"/>
                <w:bCs w:val="0"/>
                <w:color w:val="000000"/>
                <w:kern w:val="0"/>
                <w:sz w:val="28"/>
                <w:szCs w:val="28"/>
                <w:highlight w:val="none"/>
                <w:lang w:bidi="ar"/>
              </w:rPr>
              <w:t>合同，结算数量以实际完成并经现场验收合格数量为准。如有新增路段按本项目单价，以</w:t>
            </w:r>
            <w:r>
              <w:rPr>
                <w:rFonts w:hint="eastAsia" w:ascii="仿宋_GB2312" w:hAnsi="仿宋_GB2312" w:eastAsia="仿宋_GB2312" w:cs="仿宋_GB2312"/>
                <w:b w:val="0"/>
                <w:bCs w:val="0"/>
                <w:color w:val="000000"/>
                <w:kern w:val="0"/>
                <w:sz w:val="28"/>
                <w:szCs w:val="28"/>
                <w:highlight w:val="none"/>
                <w:lang w:val="en-US" w:eastAsia="zh-CN" w:bidi="ar"/>
              </w:rPr>
              <w:t>经验收合格的</w:t>
            </w:r>
            <w:r>
              <w:rPr>
                <w:rFonts w:hint="eastAsia" w:ascii="仿宋_GB2312" w:hAnsi="仿宋_GB2312" w:eastAsia="仿宋_GB2312" w:cs="仿宋_GB2312"/>
                <w:b w:val="0"/>
                <w:bCs w:val="0"/>
                <w:color w:val="000000"/>
                <w:kern w:val="0"/>
                <w:sz w:val="28"/>
                <w:szCs w:val="28"/>
                <w:highlight w:val="none"/>
                <w:lang w:bidi="ar"/>
              </w:rPr>
              <w:t>实际完成数量为准。</w:t>
            </w:r>
          </w:p>
          <w:p>
            <w:pPr>
              <w:widowControl/>
              <w:numPr>
                <w:ilvl w:val="0"/>
                <w:numId w:val="0"/>
              </w:numPr>
              <w:ind w:firstLine="840" w:firstLineChars="300"/>
              <w:jc w:val="left"/>
              <w:textAlignment w:val="center"/>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0"/>
                <w:sz w:val="28"/>
                <w:szCs w:val="28"/>
                <w:highlight w:val="none"/>
                <w:lang w:val="en-US" w:eastAsia="zh-CN" w:bidi="ar"/>
              </w:rPr>
              <w:t>3.</w:t>
            </w:r>
            <w:r>
              <w:rPr>
                <w:rFonts w:hint="eastAsia" w:ascii="仿宋_GB2312" w:hAnsi="仿宋_GB2312" w:eastAsia="仿宋_GB2312" w:cs="仿宋_GB2312"/>
                <w:b w:val="0"/>
                <w:bCs w:val="0"/>
                <w:color w:val="000000"/>
                <w:kern w:val="0"/>
                <w:sz w:val="28"/>
                <w:szCs w:val="28"/>
                <w:highlight w:val="none"/>
                <w:lang w:bidi="ar"/>
              </w:rPr>
              <w:t>安全生产专项费用、工程保险费、工伤保险费等应满足国家相关规定费用要求。</w:t>
            </w:r>
            <w:r>
              <w:rPr>
                <w:rFonts w:hint="eastAsia" w:ascii="仿宋_GB2312" w:hAnsi="仿宋_GB2312" w:eastAsia="仿宋_GB2312" w:cs="仿宋_GB2312"/>
                <w:b w:val="0"/>
                <w:bCs w:val="0"/>
                <w:color w:val="000000"/>
                <w:kern w:val="0"/>
                <w:sz w:val="32"/>
                <w:szCs w:val="32"/>
                <w:highlight w:val="none"/>
                <w:lang w:bidi="ar"/>
              </w:rPr>
              <w:t xml:space="preserve">  </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2.施工协作费由甲方分期分批支付乙方。具体支付方式和时间如下：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根据下单任务，乙方按甲方要求拼装完产品并完成各路段配送、根据路段工程数量清单，并经甲方审核无误，提交各路段结算申请书并经甲方确认后，甲方支付100%劳务费。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3.施工协作费的支付方式：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（1）协作服务费的结算方式：乙方可在结算确认后提交支付申请。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（2）协作服务费的支付方式：乙方提供合规增值税专用发票后转账支付。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4.银行账户信息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（1）甲方银行账户信息：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开户银行：兴业银行股份有限公司福州华林支行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银行账号：117130100171111113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开户名称：福路通资源循环（福建）有限公司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（2）乙方银行账户信息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开户银行：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银行账号：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开户名称：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六、履约保证金金额及形式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（一）履约保证金金额：30000元；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（二）履约保证金币种：人民币；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（三）履约保证金形式：中标方响应保证金在中标后转为履约保证金，履约保证金的退还需在乙方无违约情形下，合同期满后无息退还至乙方指定银行账户的条款。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七、合同有效期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合同签订之日至工程施工完成甲方付清工程款后终止。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八、安全生产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（一）乙方须严格遵守安全生产的要求，严禁发生违法乱纪等行为。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（二）乙方须严格遵守高速公路作业的规章制度，确保安全生产。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九、保险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（一）乙方承诺为所有参与本项目协作服务人员办理意外伤害保险，并承担相应责任。保险缴费凭证（复印件）必须交甲方备案。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（二）保险事故发生时，乙方有责任采取必要的措施减少损失。</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（一）乙方为本项目开展协作服务工作的人员资格不符合要求的，甲方有权单方面解除合同，由此造成的损失由乙方承担。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（二）因乙方原因损坏现场设备或造成部分工程损坏的，乙方应赔偿全部损失，甲方有权从乙方协作服务费中扣除。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（三）因乙方及第三方原因管理导致发生安全生产事故的，乙方应自行承担全部责任。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（四）乙方未按合同约定完工的，每逾期一日应承担合同暂定总额1‰的违约金，逾期十五日仍未完工的，甲方有权解除合同并要求其承担合同总价款20%的违约金。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（五）其余未明事项依照《中华人民共和国民法典》及相关民事法律、法规执行。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十一、不可抗力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乙双方的任何一方由于不可抗力的原因不能履行合同时，应及时向对方通报不能履行或不能完全履行的理由，在取得有关证明以后，允许延期履行、部分履行或者不履行合同，并根据情况部分或全部免予承担违约责任。因一方延迟履行导致发生不可抗力事由的，不免除延迟履行方的责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十二、争议解决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本合同履行过程中发生的争议，甲、乙双方应友好协商解决；协商解决不成时，提请</w:t>
      </w:r>
      <w:r>
        <w:rPr>
          <w:rFonts w:hint="eastAsia" w:ascii="仿宋_GB2312" w:hAnsi="仿宋_GB2312" w:eastAsia="仿宋_GB2312" w:cs="仿宋_GB2312"/>
          <w:sz w:val="32"/>
          <w:szCs w:val="32"/>
          <w:highlight w:val="none"/>
          <w:u w:val="single"/>
          <w:lang w:val="en-US" w:eastAsia="zh-CN"/>
        </w:rPr>
        <w:t>福州</w:t>
      </w:r>
      <w:r>
        <w:rPr>
          <w:rFonts w:hint="eastAsia" w:ascii="仿宋_GB2312" w:hAnsi="仿宋_GB2312" w:eastAsia="仿宋_GB2312" w:cs="仿宋_GB2312"/>
          <w:sz w:val="32"/>
          <w:szCs w:val="32"/>
          <w:highlight w:val="none"/>
          <w:lang w:val="en-US" w:eastAsia="zh-CN"/>
        </w:rPr>
        <w:t>仲裁委员会仲裁。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十三、附则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（一）本合同经双方签字盖章后生效。合同履行过程中需要进一步约定合同条款的，可由双方协商后签订补充协议，补充协议和本合同具有同等法律效力。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（二）询价文件、响应文件也为合同的组成部分。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（三）本合同一式</w:t>
      </w:r>
      <w:r>
        <w:rPr>
          <w:rFonts w:hint="eastAsia" w:ascii="仿宋_GB2312" w:hAnsi="仿宋_GB2312" w:eastAsia="仿宋_GB2312" w:cs="仿宋_GB2312"/>
          <w:sz w:val="32"/>
          <w:szCs w:val="32"/>
          <w:highlight w:val="none"/>
          <w:u w:val="single"/>
          <w:lang w:val="en-US" w:eastAsia="zh-CN"/>
        </w:rPr>
        <w:t>捌</w:t>
      </w:r>
      <w:r>
        <w:rPr>
          <w:rFonts w:hint="eastAsia" w:ascii="仿宋_GB2312" w:hAnsi="仿宋_GB2312" w:eastAsia="仿宋_GB2312" w:cs="仿宋_GB2312"/>
          <w:sz w:val="32"/>
          <w:szCs w:val="32"/>
          <w:highlight w:val="none"/>
          <w:lang w:val="en-US" w:eastAsia="zh-CN"/>
        </w:rPr>
        <w:t>份，甲乙方各执</w:t>
      </w:r>
      <w:r>
        <w:rPr>
          <w:rFonts w:hint="eastAsia" w:ascii="仿宋_GB2312" w:hAnsi="仿宋_GB2312" w:eastAsia="仿宋_GB2312" w:cs="仿宋_GB2312"/>
          <w:sz w:val="32"/>
          <w:szCs w:val="32"/>
          <w:highlight w:val="none"/>
          <w:u w:val="single"/>
          <w:lang w:val="en-US" w:eastAsia="zh-CN"/>
        </w:rPr>
        <w:t>肆</w:t>
      </w:r>
      <w:r>
        <w:rPr>
          <w:rFonts w:hint="eastAsia" w:ascii="仿宋_GB2312" w:hAnsi="仿宋_GB2312" w:eastAsia="仿宋_GB2312" w:cs="仿宋_GB2312"/>
          <w:sz w:val="32"/>
          <w:szCs w:val="32"/>
          <w:highlight w:val="none"/>
          <w:lang w:val="en-US" w:eastAsia="zh-CN"/>
        </w:rPr>
        <w:t>份，具有同等法律效力。</w:t>
      </w:r>
    </w:p>
    <w:bookmarkEnd w:id="280"/>
    <w:bookmarkEnd w:id="281"/>
    <w:bookmarkEnd w:id="282"/>
    <w:bookmarkEnd w:id="283"/>
    <w:bookmarkEnd w:id="284"/>
    <w:bookmarkEnd w:id="285"/>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tc>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tc>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法人/授权代表（签字）：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c>
          <w:tcPr>
            <w:tcW w:w="4530" w:type="dxa"/>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tc>
      </w:tr>
    </w:tbl>
    <w:p>
      <w:pPr>
        <w:widowControl/>
        <w:spacing w:line="560" w:lineRule="atLeast"/>
        <w:rPr>
          <w:rFonts w:hint="eastAsia" w:ascii="仿宋_GB2312" w:hAnsi="仿宋_GB2312" w:eastAsia="仿宋_GB2312" w:cs="仿宋_GB2312"/>
          <w:sz w:val="32"/>
          <w:szCs w:val="32"/>
          <w:highlight w:val="none"/>
        </w:rPr>
      </w:pPr>
    </w:p>
    <w:p>
      <w:pPr>
        <w:widowControl/>
        <w:spacing w:line="560" w:lineRule="atLeast"/>
        <w:rPr>
          <w:rFonts w:hint="eastAsia" w:ascii="仿宋_GB2312" w:hAnsi="仿宋_GB2312" w:eastAsia="仿宋_GB2312" w:cs="仿宋_GB2312"/>
          <w:sz w:val="32"/>
          <w:szCs w:val="32"/>
          <w:highlight w:val="none"/>
        </w:rPr>
      </w:pPr>
    </w:p>
    <w:bookmarkEnd w:id="273"/>
    <w:p>
      <w:pPr>
        <w:pStyle w:val="2"/>
        <w:jc w:val="both"/>
        <w:rPr>
          <w:rFonts w:hint="eastAsia" w:ascii="仿宋_GB2312" w:hAnsi="仿宋_GB2312" w:eastAsia="仿宋_GB2312" w:cs="仿宋_GB2312"/>
          <w:b/>
          <w:bCs w:val="0"/>
          <w:kern w:val="2"/>
          <w:sz w:val="44"/>
          <w:szCs w:val="44"/>
          <w:highlight w:val="none"/>
          <w:lang w:val="en-US" w:eastAsia="zh-CN" w:bidi="ar-SA"/>
        </w:rPr>
      </w:pPr>
      <w:bookmarkStart w:id="286" w:name="_Toc122257625"/>
      <w:bookmarkStart w:id="287" w:name="_Toc29038"/>
      <w:bookmarkStart w:id="288" w:name="_Toc8079"/>
      <w:bookmarkStart w:id="289" w:name="_Toc122750651"/>
      <w:bookmarkStart w:id="290" w:name="_Toc26998"/>
      <w:bookmarkStart w:id="291" w:name="_Toc7999"/>
      <w:bookmarkStart w:id="292" w:name="_Toc20816"/>
      <w:bookmarkStart w:id="293" w:name="_Toc19739"/>
      <w:bookmarkStart w:id="294" w:name="_Toc24961"/>
    </w:p>
    <w:p>
      <w:pPr>
        <w:pageBreakBefore/>
        <w:spacing w:line="560" w:lineRule="atLeast"/>
        <w:jc w:val="center"/>
        <w:outlineLvl w:val="0"/>
        <w:rPr>
          <w:rFonts w:hint="eastAsia" w:ascii="黑体" w:hAnsi="黑体" w:eastAsia="黑体" w:cs="黑体"/>
          <w:sz w:val="44"/>
          <w:szCs w:val="44"/>
          <w:highlight w:val="none"/>
        </w:rPr>
      </w:pPr>
      <w:bookmarkStart w:id="295" w:name="_Toc26189"/>
      <w:r>
        <w:rPr>
          <w:rFonts w:hint="eastAsia" w:ascii="黑体" w:hAnsi="黑体" w:eastAsia="黑体" w:cs="黑体"/>
          <w:sz w:val="44"/>
          <w:szCs w:val="44"/>
          <w:highlight w:val="none"/>
        </w:rPr>
        <w:t>第七篇</w:t>
      </w:r>
      <w:bookmarkEnd w:id="286"/>
      <w:r>
        <w:rPr>
          <w:rFonts w:hint="eastAsia" w:ascii="黑体" w:hAnsi="黑体" w:eastAsia="黑体" w:cs="黑体"/>
          <w:sz w:val="44"/>
          <w:szCs w:val="44"/>
          <w:highlight w:val="none"/>
        </w:rPr>
        <w:t xml:space="preserve">  响应文件格式</w:t>
      </w:r>
      <w:bookmarkEnd w:id="287"/>
      <w:bookmarkEnd w:id="288"/>
      <w:bookmarkEnd w:id="289"/>
      <w:bookmarkEnd w:id="290"/>
      <w:bookmarkEnd w:id="291"/>
      <w:bookmarkEnd w:id="292"/>
      <w:bookmarkEnd w:id="293"/>
      <w:bookmarkEnd w:id="294"/>
      <w:bookmarkEnd w:id="295"/>
    </w:p>
    <w:p>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（响应文件包封封面）</w:t>
      </w:r>
    </w:p>
    <w:p>
      <w:pPr>
        <w:spacing w:line="560" w:lineRule="exact"/>
        <w:jc w:val="center"/>
        <w:rPr>
          <w:rFonts w:ascii="仿宋_GB2312" w:eastAsia="仿宋_GB2312"/>
          <w:bCs/>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val="en-US" w:eastAsia="zh-CN"/>
        </w:rPr>
        <w:t>福路通资源循环（福建）有限公司</w:t>
      </w:r>
      <w:r>
        <w:rPr>
          <w:rFonts w:hint="eastAsia" w:ascii="仿宋_GB2312" w:eastAsia="仿宋_GB2312"/>
          <w:b/>
          <w:sz w:val="44"/>
          <w:szCs w:val="44"/>
          <w:highlight w:val="none"/>
        </w:rPr>
        <w:t xml:space="preserve"> </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val="en-US" w:eastAsia="zh-CN"/>
        </w:rPr>
        <w:t>旋转桶式活动护栏拼装及配送劳务服务</w:t>
      </w:r>
      <w:r>
        <w:rPr>
          <w:rFonts w:hint="eastAsia" w:ascii="仿宋_GB2312" w:eastAsia="仿宋_GB2312"/>
          <w:b/>
          <w:sz w:val="44"/>
          <w:szCs w:val="44"/>
          <w:highlight w:val="none"/>
        </w:rPr>
        <w:t>询价采购</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pageBreakBefore/>
        <w:spacing w:line="560" w:lineRule="exact"/>
        <w:jc w:val="center"/>
        <w:rPr>
          <w:rFonts w:ascii="仿宋_GB2312" w:eastAsia="仿宋_GB2312"/>
          <w:bCs/>
          <w:sz w:val="44"/>
          <w:szCs w:val="44"/>
          <w:highlight w:val="none"/>
        </w:rPr>
      </w:pPr>
      <w:r>
        <w:rPr>
          <w:rFonts w:hint="eastAsia" w:ascii="仿宋_GB2312" w:eastAsia="仿宋_GB2312"/>
          <w:bCs/>
          <w:sz w:val="44"/>
          <w:szCs w:val="44"/>
          <w:highlight w:val="none"/>
        </w:rPr>
        <w:t>（响应文件封面）</w:t>
      </w:r>
    </w:p>
    <w:p>
      <w:pPr>
        <w:spacing w:line="560" w:lineRule="exact"/>
        <w:jc w:val="center"/>
        <w:rPr>
          <w:rFonts w:ascii="仿宋_GB2312" w:eastAsia="仿宋_GB2312"/>
          <w:b/>
          <w:sz w:val="44"/>
          <w:szCs w:val="44"/>
          <w:highlight w:val="none"/>
        </w:rPr>
      </w:pPr>
    </w:p>
    <w:p>
      <w:pPr>
        <w:spacing w:line="560" w:lineRule="exact"/>
        <w:jc w:val="center"/>
        <w:rPr>
          <w:rFonts w:hint="eastAsia" w:ascii="仿宋_GB2312" w:eastAsia="仿宋_GB2312"/>
          <w:b/>
          <w:sz w:val="44"/>
          <w:szCs w:val="44"/>
          <w:highlight w:val="none"/>
        </w:rPr>
      </w:pPr>
      <w:r>
        <w:rPr>
          <w:rFonts w:hint="eastAsia" w:ascii="仿宋_GB2312" w:eastAsia="仿宋_GB2312"/>
          <w:b/>
          <w:sz w:val="44"/>
          <w:szCs w:val="44"/>
          <w:highlight w:val="none"/>
          <w:lang w:val="en-US" w:eastAsia="zh-CN"/>
        </w:rPr>
        <w:t>福路通资源循环（福建）有限公司</w:t>
      </w:r>
      <w:r>
        <w:rPr>
          <w:rFonts w:hint="eastAsia" w:ascii="仿宋_GB2312" w:eastAsia="仿宋_GB2312"/>
          <w:b/>
          <w:sz w:val="44"/>
          <w:szCs w:val="44"/>
          <w:highlight w:val="none"/>
        </w:rPr>
        <w:t xml:space="preserve"> </w:t>
      </w:r>
    </w:p>
    <w:p>
      <w:pPr>
        <w:spacing w:line="560" w:lineRule="exact"/>
        <w:jc w:val="center"/>
        <w:rPr>
          <w:rFonts w:hint="eastAsia"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lang w:val="en-US" w:eastAsia="zh-CN"/>
        </w:rPr>
        <w:t>旋转桶式活动护栏拼装及配送劳务服务</w:t>
      </w:r>
      <w:r>
        <w:rPr>
          <w:rFonts w:hint="eastAsia" w:ascii="仿宋_GB2312" w:eastAsia="仿宋_GB2312"/>
          <w:b/>
          <w:sz w:val="44"/>
          <w:szCs w:val="44"/>
          <w:highlight w:val="none"/>
        </w:rPr>
        <w:t>询价采购</w:t>
      </w: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p>
    <w:p>
      <w:pPr>
        <w:spacing w:line="560" w:lineRule="exact"/>
        <w:jc w:val="center"/>
        <w:rPr>
          <w:rFonts w:ascii="仿宋_GB2312" w:eastAsia="仿宋_GB2312"/>
          <w:b/>
          <w:sz w:val="44"/>
          <w:szCs w:val="44"/>
          <w:highlight w:val="none"/>
        </w:rPr>
      </w:pPr>
      <w:r>
        <w:rPr>
          <w:rFonts w:hint="eastAsia" w:ascii="仿宋_GB2312" w:eastAsia="仿宋_GB2312"/>
          <w:b/>
          <w:sz w:val="44"/>
          <w:szCs w:val="44"/>
          <w:highlight w:val="none"/>
        </w:rPr>
        <w:t>响应文件</w:t>
      </w: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供应商：</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 xml:space="preserve"> （单位名称加盖公章）</w:t>
      </w:r>
    </w:p>
    <w:p>
      <w:pPr>
        <w:spacing w:line="560" w:lineRule="exact"/>
        <w:jc w:val="center"/>
        <w:rPr>
          <w:rFonts w:ascii="仿宋_GB2312" w:eastAsia="仿宋_GB2312"/>
          <w:b/>
          <w:sz w:val="32"/>
          <w:szCs w:val="32"/>
          <w:highlight w:val="none"/>
        </w:rPr>
      </w:pPr>
      <w:r>
        <w:rPr>
          <w:rFonts w:hint="eastAsia" w:ascii="仿宋_GB2312" w:eastAsia="仿宋_GB2312"/>
          <w:b/>
          <w:sz w:val="32"/>
          <w:szCs w:val="32"/>
          <w:highlight w:val="none"/>
        </w:rPr>
        <w:t>日  期：2025年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p>
    <w:p>
      <w:pPr>
        <w:spacing w:line="560" w:lineRule="exact"/>
        <w:rPr>
          <w:rFonts w:ascii="仿宋_GB2312" w:eastAsia="仿宋_GB2312"/>
          <w:sz w:val="32"/>
          <w:szCs w:val="32"/>
          <w:highlight w:val="none"/>
        </w:rPr>
      </w:pPr>
    </w:p>
    <w:p>
      <w:pPr>
        <w:pageBreakBefore/>
        <w:widowControl w:val="0"/>
        <w:kinsoku/>
        <w:wordWrap/>
        <w:overflowPunct/>
        <w:topLinePunct w:val="0"/>
        <w:autoSpaceDE/>
        <w:autoSpaceDN/>
        <w:bidi w:val="0"/>
        <w:adjustRightInd/>
        <w:snapToGrid/>
        <w:spacing w:line="560" w:lineRule="exact"/>
        <w:jc w:val="center"/>
        <w:textAlignment w:val="auto"/>
        <w:outlineLvl w:val="0"/>
        <w:rPr>
          <w:rFonts w:ascii="仿宋_GB2312" w:hAnsi="仿宋_GB2312" w:eastAsia="仿宋_GB2312" w:cs="仿宋_GB2312"/>
          <w:b/>
          <w:bCs/>
          <w:kern w:val="44"/>
          <w:sz w:val="44"/>
          <w:szCs w:val="44"/>
          <w:highlight w:val="none"/>
        </w:rPr>
      </w:pPr>
      <w:bookmarkStart w:id="296" w:name="_Toc13593"/>
      <w:bookmarkStart w:id="297" w:name="_Toc18621"/>
      <w:bookmarkStart w:id="298" w:name="_Toc29472"/>
      <w:bookmarkStart w:id="299" w:name="_Toc3952"/>
      <w:bookmarkStart w:id="300" w:name="_Toc31235"/>
      <w:bookmarkStart w:id="301" w:name="_Toc30065"/>
      <w:bookmarkStart w:id="302" w:name="_Toc17844"/>
      <w:bookmarkStart w:id="303" w:name="_Toc23879"/>
      <w:bookmarkStart w:id="304" w:name="_Toc9582"/>
      <w:bookmarkStart w:id="305" w:name="_Toc28750"/>
      <w:bookmarkStart w:id="306" w:name="_Toc19149"/>
      <w:bookmarkStart w:id="307" w:name="_Toc27854"/>
      <w:bookmarkStart w:id="308" w:name="_Toc2984"/>
      <w:bookmarkStart w:id="309" w:name="_Toc31436"/>
      <w:bookmarkStart w:id="310" w:name="_Toc9836"/>
      <w:r>
        <w:rPr>
          <w:rFonts w:hint="eastAsia" w:ascii="仿宋_GB2312" w:hAnsi="仿宋_GB2312" w:eastAsia="仿宋_GB2312" w:cs="仿宋_GB2312"/>
          <w:b/>
          <w:bCs/>
          <w:kern w:val="44"/>
          <w:sz w:val="44"/>
          <w:szCs w:val="44"/>
          <w:highlight w:val="none"/>
        </w:rPr>
        <w:t>目</w:t>
      </w:r>
      <w:r>
        <w:rPr>
          <w:rFonts w:ascii="仿宋_GB2312" w:hAnsi="仿宋_GB2312" w:eastAsia="仿宋_GB2312" w:cs="仿宋_GB2312"/>
          <w:b/>
          <w:bCs/>
          <w:kern w:val="44"/>
          <w:sz w:val="44"/>
          <w:szCs w:val="44"/>
          <w:highlight w:val="none"/>
        </w:rPr>
        <w:t xml:space="preserve">  </w:t>
      </w:r>
      <w:r>
        <w:rPr>
          <w:rFonts w:hint="eastAsia" w:ascii="仿宋_GB2312" w:hAnsi="仿宋_GB2312" w:eastAsia="仿宋_GB2312" w:cs="仿宋_GB2312"/>
          <w:b/>
          <w:bCs/>
          <w:kern w:val="44"/>
          <w:sz w:val="44"/>
          <w:szCs w:val="44"/>
          <w:highlight w:val="none"/>
        </w:rPr>
        <w:t>录</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一、报价函</w:t>
      </w: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二、报价表</w:t>
      </w: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三、供应商法定代表人身份证明书（格式）</w:t>
      </w: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四、供应商法定代表人授权委托书（格式）</w:t>
      </w:r>
    </w:p>
    <w:p>
      <w:pPr>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五、资质文件</w:t>
      </w:r>
    </w:p>
    <w:p>
      <w:pPr>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其他文件</w:t>
      </w:r>
    </w:p>
    <w:p>
      <w:pPr>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七、承诺函</w:t>
      </w:r>
    </w:p>
    <w:p>
      <w:pPr>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Times New Roman" w:eastAsia="仿宋_GB2312" w:cs="Times New Roman"/>
          <w:b w:val="0"/>
          <w:bCs w:val="0"/>
          <w:kern w:val="2"/>
          <w:sz w:val="32"/>
          <w:szCs w:val="32"/>
          <w:highlight w:val="none"/>
        </w:rPr>
      </w:pPr>
      <w:r>
        <w:rPr>
          <w:rFonts w:hint="eastAsia" w:ascii="仿宋_GB2312" w:eastAsia="仿宋_GB2312" w:cs="Times New Roman"/>
          <w:b w:val="0"/>
          <w:bCs w:val="0"/>
          <w:kern w:val="2"/>
          <w:sz w:val="32"/>
          <w:szCs w:val="32"/>
          <w:highlight w:val="none"/>
          <w:lang w:val="en-US" w:eastAsia="zh-CN"/>
        </w:rPr>
        <w:t>八</w:t>
      </w:r>
      <w:r>
        <w:rPr>
          <w:rFonts w:hint="eastAsia" w:ascii="仿宋_GB2312" w:hAnsi="Times New Roman" w:eastAsia="仿宋_GB2312" w:cs="Times New Roman"/>
          <w:b w:val="0"/>
          <w:bCs w:val="0"/>
          <w:kern w:val="2"/>
          <w:sz w:val="32"/>
          <w:szCs w:val="32"/>
          <w:highlight w:val="none"/>
        </w:rPr>
        <w:t>、供应商廉政保证书</w:t>
      </w:r>
    </w:p>
    <w:p>
      <w:pPr>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311" w:name="_Toc24450"/>
      <w:bookmarkStart w:id="312" w:name="_Toc18384"/>
      <w:bookmarkStart w:id="313" w:name="_Toc19055"/>
      <w:bookmarkStart w:id="314" w:name="_Toc16722"/>
      <w:bookmarkStart w:id="315" w:name="_Toc21265"/>
      <w:bookmarkStart w:id="316" w:name="_Toc6010"/>
      <w:bookmarkStart w:id="317" w:name="_Toc409439698"/>
      <w:bookmarkStart w:id="318" w:name="_Toc8002"/>
      <w:bookmarkStart w:id="319" w:name="_Toc9294"/>
      <w:bookmarkStart w:id="320" w:name="_Toc534883367"/>
      <w:bookmarkStart w:id="321" w:name="_Toc534883409"/>
      <w:bookmarkStart w:id="322" w:name="_Toc14919"/>
      <w:bookmarkStart w:id="323" w:name="_Toc122750652"/>
      <w:bookmarkStart w:id="324" w:name="_Toc508286687"/>
      <w:bookmarkStart w:id="325" w:name="_Toc25313"/>
      <w:bookmarkStart w:id="326" w:name="_Toc2906"/>
      <w:bookmarkStart w:id="327" w:name="_Toc15079"/>
      <w:bookmarkStart w:id="328" w:name="_Toc317"/>
      <w:r>
        <w:rPr>
          <w:rFonts w:hint="eastAsia" w:ascii="仿宋_GB2312" w:hAnsi="仿宋_GB2312" w:eastAsia="仿宋_GB2312" w:cs="仿宋_GB2312"/>
          <w:b/>
          <w:bCs/>
          <w:kern w:val="44"/>
          <w:sz w:val="44"/>
          <w:szCs w:val="44"/>
          <w:highlight w:val="none"/>
        </w:rPr>
        <w:t>一、报 价 函</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pPr>
        <w:widowControl w:val="0"/>
        <w:kinsoku/>
        <w:wordWrap/>
        <w:overflowPunct/>
        <w:topLinePunct w:val="0"/>
        <w:autoSpaceDE/>
        <w:autoSpaceDN/>
        <w:bidi w:val="0"/>
        <w:adjustRightInd/>
        <w:snapToGrid/>
        <w:spacing w:line="560" w:lineRule="exact"/>
        <w:textAlignment w:val="auto"/>
        <w:rPr>
          <w:rFonts w:ascii="仿宋_GB2312" w:eastAsia="仿宋_GB2312"/>
          <w:sz w:val="32"/>
          <w:szCs w:val="32"/>
          <w:highlight w:val="none"/>
        </w:rPr>
      </w:pP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我方获悉贵单位需询价采购</w:t>
      </w:r>
      <w:r>
        <w:rPr>
          <w:rFonts w:hint="eastAsia" w:ascii="仿宋_GB2312" w:eastAsia="仿宋_GB2312"/>
          <w:sz w:val="32"/>
          <w:szCs w:val="32"/>
          <w:highlight w:val="none"/>
          <w:u w:val="single"/>
          <w:lang w:val="en-US" w:eastAsia="zh-CN"/>
        </w:rPr>
        <w:t>旋转桶式活动护栏的拼装及配送劳务服务</w:t>
      </w:r>
      <w:r>
        <w:rPr>
          <w:rFonts w:hint="eastAsia" w:ascii="仿宋_GB2312" w:eastAsia="仿宋_GB2312"/>
          <w:sz w:val="32"/>
          <w:szCs w:val="32"/>
          <w:highlight w:val="none"/>
        </w:rPr>
        <w:t>，经详细研究询价采购文件，决定参加该询价采购项目的报价。</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1.我方全面研究了询价采购文件，并能够正确理解和接受其全部内容。我方根据询价采购文件中的各项要求，对所询价采购</w:t>
      </w:r>
      <w:r>
        <w:rPr>
          <w:rFonts w:hint="eastAsia" w:ascii="仿宋_GB2312" w:eastAsia="仿宋_GB2312"/>
          <w:sz w:val="32"/>
          <w:szCs w:val="32"/>
          <w:highlight w:val="none"/>
          <w:lang w:val="en-US" w:eastAsia="zh-CN"/>
        </w:rPr>
        <w:t>中央分隔带开口旋转桶式活动护栏的</w:t>
      </w:r>
      <w:r>
        <w:rPr>
          <w:rFonts w:hint="eastAsia" w:ascii="仿宋_GB2312" w:hAnsi="仿宋_GB2312" w:eastAsia="仿宋_GB2312" w:cs="仿宋_GB2312"/>
          <w:sz w:val="32"/>
          <w:szCs w:val="32"/>
          <w:highlight w:val="none"/>
          <w:lang w:val="en-US" w:eastAsia="zh-CN"/>
        </w:rPr>
        <w:t>拼装及配送劳务服务</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我方愿以人民币</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（大写</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）元费用价完成协作服务。</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bookmarkStart w:id="329" w:name="_Toc10539"/>
      <w:bookmarkStart w:id="330" w:name="_Toc8363"/>
      <w:r>
        <w:rPr>
          <w:rFonts w:hint="eastAsia" w:ascii="仿宋_GB2312" w:eastAsia="仿宋_GB2312"/>
          <w:sz w:val="32"/>
          <w:szCs w:val="32"/>
          <w:highlight w:val="none"/>
        </w:rPr>
        <w:t>2.我方现提交的响应文件为：响应文件正本一份，副本一份。</w:t>
      </w:r>
      <w:bookmarkEnd w:id="329"/>
      <w:bookmarkEnd w:id="330"/>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3.我方完全同意询价采购文件中规定的评审办法；愿意自行承担我方在参与此次报价活动过程中所发生的一切费用。</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4.如果我方中选成交，我方将履行询价采购文件中规定的各项要求，按《中华人民共和国民法典》和合同约定条款承担我方的责任。</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5.我方愿意接收询价采购人在询价采购文件中要求的所有资料，并对其真实性负责。</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供应商法定代表人               供应商：（公章）</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 xml:space="preserve">或其授权委托人：（签字） </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 xml:space="preserve">地址： </w:t>
      </w:r>
    </w:p>
    <w:p>
      <w:pPr>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电话：                    日期：2025年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w:t>
      </w:r>
    </w:p>
    <w:p>
      <w:pPr>
        <w:pStyle w:val="4"/>
        <w:widowControl w:val="0"/>
        <w:kinsoku/>
        <w:wordWrap/>
        <w:overflowPunct/>
        <w:topLinePunct w:val="0"/>
        <w:autoSpaceDE/>
        <w:autoSpaceDN/>
        <w:bidi w:val="0"/>
        <w:adjustRightInd/>
        <w:snapToGrid/>
        <w:spacing w:line="560" w:lineRule="exact"/>
        <w:jc w:val="both"/>
        <w:textAlignment w:val="auto"/>
        <w:rPr>
          <w:rFonts w:hint="eastAsia"/>
          <w:highlight w:val="none"/>
        </w:rPr>
        <w:sectPr>
          <w:pgSz w:w="11906" w:h="16838"/>
          <w:pgMar w:top="1701" w:right="1474" w:bottom="1134" w:left="1588" w:header="851" w:footer="992" w:gutter="0"/>
          <w:pgNumType w:fmt="decimal"/>
          <w:cols w:space="720" w:num="1"/>
          <w:docGrid w:type="lines" w:linePitch="312" w:charSpace="0"/>
        </w:sectPr>
      </w:pPr>
      <w:bookmarkStart w:id="331" w:name="_Toc409439699"/>
      <w:bookmarkStart w:id="332" w:name="_Toc508286688"/>
      <w:bookmarkStart w:id="333" w:name="_Toc122257631"/>
      <w:bookmarkStart w:id="334" w:name="_Toc534883410"/>
      <w:bookmarkStart w:id="335" w:name="_Toc122750653"/>
      <w:bookmarkStart w:id="336" w:name="_Toc534883368"/>
    </w:p>
    <w:bookmarkEnd w:id="331"/>
    <w:bookmarkEnd w:id="332"/>
    <w:bookmarkEnd w:id="333"/>
    <w:bookmarkEnd w:id="334"/>
    <w:bookmarkEnd w:id="335"/>
    <w:bookmarkEnd w:id="336"/>
    <w:p>
      <w:pPr>
        <w:keepNext w:val="0"/>
        <w:keepLines w:val="0"/>
        <w:pageBreakBefore/>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337" w:name="_Toc16674"/>
      <w:bookmarkStart w:id="338" w:name="_Toc5375"/>
      <w:bookmarkStart w:id="339" w:name="_Toc23506"/>
      <w:bookmarkStart w:id="340" w:name="_Toc12979"/>
      <w:bookmarkStart w:id="341" w:name="_Toc9680"/>
      <w:bookmarkStart w:id="342" w:name="_Toc3187"/>
      <w:bookmarkStart w:id="343" w:name="_Toc31915"/>
      <w:bookmarkStart w:id="344" w:name="_Toc16574"/>
      <w:bookmarkStart w:id="345" w:name="_Toc18464"/>
      <w:bookmarkStart w:id="346" w:name="_Toc23211"/>
      <w:bookmarkStart w:id="347" w:name="_Toc16543"/>
      <w:bookmarkStart w:id="348" w:name="_Toc2099"/>
      <w:bookmarkStart w:id="349" w:name="_Toc28199"/>
      <w:r>
        <w:rPr>
          <w:rFonts w:hint="eastAsia" w:ascii="仿宋_GB2312" w:hAnsi="仿宋_GB2312" w:eastAsia="仿宋_GB2312" w:cs="仿宋_GB2312"/>
          <w:b/>
          <w:bCs/>
          <w:kern w:val="44"/>
          <w:sz w:val="44"/>
          <w:szCs w:val="44"/>
          <w:highlight w:val="none"/>
          <w:lang w:val="en-US" w:eastAsia="zh-CN" w:bidi="ar-SA"/>
        </w:rPr>
        <w:t>二、</w:t>
      </w:r>
      <w:r>
        <w:rPr>
          <w:rFonts w:hint="eastAsia" w:ascii="仿宋_GB2312" w:hAnsi="仿宋_GB2312" w:eastAsia="仿宋_GB2312" w:cs="仿宋_GB2312"/>
          <w:b/>
          <w:bCs/>
          <w:kern w:val="44"/>
          <w:sz w:val="44"/>
          <w:szCs w:val="44"/>
          <w:highlight w:val="none"/>
        </w:rPr>
        <w:t>报 价 表</w:t>
      </w:r>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0" w:name="_Toc287002972"/>
      <w:bookmarkStart w:id="351" w:name="_Toc409439700"/>
      <w:bookmarkStart w:id="352" w:name="_Toc122750655"/>
      <w:bookmarkStart w:id="353" w:name="_Toc122257633"/>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32"/>
          <w:szCs w:val="32"/>
          <w:highlight w:val="none"/>
        </w:rPr>
      </w:pPr>
    </w:p>
    <w:tbl>
      <w:tblPr>
        <w:tblStyle w:val="31"/>
        <w:tblW w:w="5000" w:type="pct"/>
        <w:jc w:val="center"/>
        <w:tblLayout w:type="autofit"/>
        <w:tblCellMar>
          <w:top w:w="0" w:type="dxa"/>
          <w:left w:w="108" w:type="dxa"/>
          <w:bottom w:w="0" w:type="dxa"/>
          <w:right w:w="108" w:type="dxa"/>
        </w:tblCellMar>
      </w:tblPr>
      <w:tblGrid>
        <w:gridCol w:w="711"/>
        <w:gridCol w:w="2512"/>
        <w:gridCol w:w="705"/>
        <w:gridCol w:w="1314"/>
        <w:gridCol w:w="1335"/>
        <w:gridCol w:w="1316"/>
        <w:gridCol w:w="1337"/>
      </w:tblGrid>
      <w:tr>
        <w:tblPrEx>
          <w:tblCellMar>
            <w:top w:w="0" w:type="dxa"/>
            <w:left w:w="108" w:type="dxa"/>
            <w:bottom w:w="0" w:type="dxa"/>
            <w:right w:w="108" w:type="dxa"/>
          </w:tblCellMar>
        </w:tblPrEx>
        <w:trPr>
          <w:trHeight w:val="567" w:hRule="atLeast"/>
          <w:jc w:val="center"/>
        </w:trPr>
        <w:tc>
          <w:tcPr>
            <w:tcW w:w="5000" w:type="pct"/>
            <w:gridSpan w:val="7"/>
            <w:tcBorders>
              <w:top w:val="nil"/>
              <w:left w:val="nil"/>
              <w:bottom w:val="single" w:color="000000" w:sz="8" w:space="0"/>
              <w:right w:val="nil"/>
            </w:tcBorders>
            <w:noWrap w:val="0"/>
            <w:vAlign w:val="center"/>
          </w:tcPr>
          <w:p>
            <w:pPr>
              <w:widowControl/>
              <w:jc w:val="center"/>
              <w:textAlignment w:val="center"/>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旋转桶式活动护栏的拼装及配送劳务服务</w:t>
            </w:r>
          </w:p>
        </w:tc>
      </w:tr>
      <w:tr>
        <w:tblPrEx>
          <w:tblCellMar>
            <w:top w:w="0" w:type="dxa"/>
            <w:left w:w="108" w:type="dxa"/>
            <w:bottom w:w="0" w:type="dxa"/>
            <w:right w:w="108" w:type="dxa"/>
          </w:tblCellMar>
        </w:tblPrEx>
        <w:trPr>
          <w:trHeight w:val="567" w:hRule="atLeast"/>
          <w:jc w:val="center"/>
        </w:trPr>
        <w:tc>
          <w:tcPr>
            <w:tcW w:w="385" w:type="pct"/>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序号</w:t>
            </w:r>
          </w:p>
        </w:tc>
        <w:tc>
          <w:tcPr>
            <w:tcW w:w="136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工程或费用名称</w:t>
            </w:r>
          </w:p>
        </w:tc>
        <w:tc>
          <w:tcPr>
            <w:tcW w:w="38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单位</w:t>
            </w:r>
          </w:p>
        </w:tc>
        <w:tc>
          <w:tcPr>
            <w:tcW w:w="71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kern w:val="0"/>
                <w:sz w:val="32"/>
                <w:szCs w:val="32"/>
                <w:highlight w:val="none"/>
                <w:lang w:bidi="ar"/>
              </w:rPr>
              <w:t>工程数量</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暂估</w:t>
            </w:r>
            <w:r>
              <w:rPr>
                <w:rFonts w:hint="eastAsia" w:ascii="仿宋_GB2312" w:hAnsi="仿宋_GB2312" w:eastAsia="仿宋_GB2312" w:cs="仿宋_GB2312"/>
                <w:color w:val="000000"/>
                <w:kern w:val="0"/>
                <w:sz w:val="32"/>
                <w:szCs w:val="32"/>
                <w:highlight w:val="none"/>
                <w:lang w:eastAsia="zh-CN" w:bidi="ar"/>
              </w:rPr>
              <w:t>）</w:t>
            </w:r>
          </w:p>
        </w:tc>
        <w:tc>
          <w:tcPr>
            <w:tcW w:w="72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单价（元</w:t>
            </w:r>
            <w:r>
              <w:rPr>
                <w:rFonts w:hint="eastAsia" w:ascii="仿宋_GB2312" w:hAnsi="仿宋_GB2312" w:eastAsia="仿宋_GB2312" w:cs="仿宋_GB2312"/>
                <w:color w:val="000000"/>
                <w:kern w:val="0"/>
                <w:sz w:val="32"/>
                <w:szCs w:val="32"/>
                <w:highlight w:val="none"/>
                <w:lang w:val="en-US" w:eastAsia="zh-CN" w:bidi="ar"/>
              </w:rPr>
              <w:t>/米</w:t>
            </w:r>
            <w:r>
              <w:rPr>
                <w:rFonts w:hint="eastAsia" w:ascii="仿宋_GB2312" w:hAnsi="仿宋_GB2312" w:eastAsia="仿宋_GB2312" w:cs="仿宋_GB2312"/>
                <w:color w:val="000000"/>
                <w:kern w:val="0"/>
                <w:sz w:val="32"/>
                <w:szCs w:val="32"/>
                <w:highlight w:val="none"/>
                <w:lang w:bidi="ar"/>
              </w:rPr>
              <w:t>）</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总</w:t>
            </w:r>
            <w:r>
              <w:rPr>
                <w:rFonts w:hint="eastAsia" w:ascii="仿宋_GB2312" w:hAnsi="仿宋_GB2312" w:eastAsia="仿宋_GB2312" w:cs="仿宋_GB2312"/>
                <w:color w:val="000000"/>
                <w:kern w:val="0"/>
                <w:sz w:val="32"/>
                <w:szCs w:val="32"/>
                <w:highlight w:val="none"/>
                <w:lang w:bidi="ar"/>
              </w:rPr>
              <w:t>金额（元）</w:t>
            </w:r>
          </w:p>
        </w:tc>
        <w:tc>
          <w:tcPr>
            <w:tcW w:w="72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备注</w:t>
            </w:r>
          </w:p>
        </w:tc>
      </w:tr>
      <w:tr>
        <w:tblPrEx>
          <w:tblCellMar>
            <w:top w:w="0" w:type="dxa"/>
            <w:left w:w="108" w:type="dxa"/>
            <w:bottom w:w="0" w:type="dxa"/>
            <w:right w:w="108" w:type="dxa"/>
          </w:tblCellMar>
        </w:tblPrEx>
        <w:trPr>
          <w:trHeight w:val="567" w:hRule="atLeast"/>
          <w:jc w:val="center"/>
        </w:trPr>
        <w:tc>
          <w:tcPr>
            <w:tcW w:w="385" w:type="pc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1</w:t>
            </w:r>
          </w:p>
        </w:tc>
        <w:tc>
          <w:tcPr>
            <w:tcW w:w="136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中旋转桶式活动护栏的拼装及配送</w:t>
            </w:r>
          </w:p>
        </w:tc>
        <w:tc>
          <w:tcPr>
            <w:tcW w:w="38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bidi="ar"/>
              </w:rPr>
              <w:t>米</w:t>
            </w:r>
          </w:p>
        </w:tc>
        <w:tc>
          <w:tcPr>
            <w:tcW w:w="712"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6000</w:t>
            </w:r>
          </w:p>
        </w:tc>
        <w:tc>
          <w:tcPr>
            <w:tcW w:w="721"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2"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blPrEx>
          <w:tblCellMar>
            <w:top w:w="0" w:type="dxa"/>
            <w:left w:w="108" w:type="dxa"/>
            <w:bottom w:w="0" w:type="dxa"/>
            <w:right w:w="108" w:type="dxa"/>
          </w:tblCellMar>
        </w:tblPrEx>
        <w:trPr>
          <w:trHeight w:val="567" w:hRule="atLeast"/>
          <w:jc w:val="center"/>
        </w:trPr>
        <w:tc>
          <w:tcPr>
            <w:tcW w:w="3563" w:type="pct"/>
            <w:gridSpan w:val="5"/>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合计</w:t>
            </w:r>
          </w:p>
        </w:tc>
        <w:tc>
          <w:tcPr>
            <w:tcW w:w="713" w:type="pc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仿宋_GB2312" w:hAnsi="仿宋_GB2312" w:eastAsia="仿宋_GB2312" w:cs="仿宋_GB2312"/>
                <w:color w:val="000000"/>
                <w:sz w:val="32"/>
                <w:szCs w:val="32"/>
                <w:highlight w:val="none"/>
              </w:rPr>
            </w:pPr>
          </w:p>
        </w:tc>
        <w:tc>
          <w:tcPr>
            <w:tcW w:w="722" w:type="pct"/>
            <w:tcBorders>
              <w:top w:val="single" w:color="000000" w:sz="8" w:space="0"/>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color w:val="000000"/>
                <w:sz w:val="32"/>
                <w:szCs w:val="32"/>
                <w:highlight w:val="none"/>
              </w:rPr>
            </w:pPr>
          </w:p>
        </w:tc>
      </w:tr>
      <w:tr>
        <w:trPr>
          <w:trHeight w:val="567" w:hRule="atLeast"/>
          <w:jc w:val="center"/>
        </w:trPr>
        <w:tc>
          <w:tcPr>
            <w:tcW w:w="5000" w:type="pct"/>
            <w:gridSpan w:val="7"/>
            <w:tcBorders>
              <w:top w:val="nil"/>
              <w:left w:val="nil"/>
              <w:bottom w:val="nil"/>
              <w:right w:val="nil"/>
            </w:tcBorders>
            <w:noWrap w:val="0"/>
            <w:vAlign w:val="center"/>
          </w:tcPr>
          <w:p>
            <w:pPr>
              <w:widowControl/>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bidi="ar"/>
              </w:rPr>
              <w:t>备注：1</w:t>
            </w:r>
            <w:r>
              <w:rPr>
                <w:rFonts w:hint="eastAsia"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bidi="ar"/>
              </w:rPr>
              <w:t>包含直接费用、间接费用、利润、税收等一切相关费用。</w:t>
            </w:r>
          </w:p>
          <w:p>
            <w:pPr>
              <w:widowControl/>
              <w:numPr>
                <w:ilvl w:val="0"/>
                <w:numId w:val="0"/>
              </w:numPr>
              <w:ind w:firstLine="840" w:firstLineChars="300"/>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val="en-US" w:eastAsia="zh-CN" w:bidi="ar"/>
              </w:rPr>
              <w:t>2.</w:t>
            </w:r>
            <w:r>
              <w:rPr>
                <w:rFonts w:hint="eastAsia" w:ascii="仿宋_GB2312" w:hAnsi="仿宋_GB2312" w:eastAsia="仿宋_GB2312" w:cs="仿宋_GB2312"/>
                <w:b w:val="0"/>
                <w:bCs w:val="0"/>
                <w:color w:val="000000"/>
                <w:kern w:val="0"/>
                <w:sz w:val="28"/>
                <w:szCs w:val="28"/>
                <w:highlight w:val="none"/>
                <w:lang w:bidi="ar"/>
              </w:rPr>
              <w:t xml:space="preserve">协作服务采用单价报价与总价报价分别都不得超过本次协作的控制单价与控制总价的方式进行采购。 </w:t>
            </w:r>
          </w:p>
          <w:p>
            <w:pPr>
              <w:widowControl/>
              <w:numPr>
                <w:ilvl w:val="0"/>
                <w:numId w:val="0"/>
              </w:numPr>
              <w:ind w:firstLine="840" w:firstLineChars="300"/>
              <w:jc w:val="left"/>
              <w:textAlignment w:val="center"/>
              <w:rPr>
                <w:rFonts w:hint="eastAsia" w:ascii="仿宋_GB2312" w:hAnsi="仿宋_GB2312" w:eastAsia="仿宋_GB2312" w:cs="仿宋_GB2312"/>
                <w:b w:val="0"/>
                <w:bCs w:val="0"/>
                <w:color w:val="000000"/>
                <w:kern w:val="0"/>
                <w:sz w:val="28"/>
                <w:szCs w:val="28"/>
                <w:highlight w:val="none"/>
                <w:lang w:bidi="ar"/>
              </w:rPr>
            </w:pPr>
            <w:r>
              <w:rPr>
                <w:rFonts w:hint="eastAsia" w:ascii="仿宋_GB2312" w:hAnsi="仿宋_GB2312" w:eastAsia="仿宋_GB2312" w:cs="仿宋_GB2312"/>
                <w:b w:val="0"/>
                <w:bCs w:val="0"/>
                <w:color w:val="000000"/>
                <w:kern w:val="0"/>
                <w:sz w:val="28"/>
                <w:szCs w:val="28"/>
                <w:highlight w:val="none"/>
                <w:lang w:bidi="ar"/>
              </w:rPr>
              <w:t>3</w:t>
            </w:r>
            <w:r>
              <w:rPr>
                <w:rFonts w:hint="eastAsia"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bidi="ar"/>
              </w:rPr>
              <w:t>本项目为</w:t>
            </w:r>
            <w:r>
              <w:rPr>
                <w:rFonts w:hint="eastAsia" w:ascii="仿宋_GB2312" w:hAnsi="仿宋_GB2312" w:eastAsia="仿宋_GB2312" w:cs="仿宋_GB2312"/>
                <w:b w:val="0"/>
                <w:bCs w:val="0"/>
                <w:color w:val="000000"/>
                <w:kern w:val="0"/>
                <w:sz w:val="28"/>
                <w:szCs w:val="28"/>
                <w:highlight w:val="none"/>
                <w:lang w:eastAsia="zh-CN" w:bidi="ar"/>
              </w:rPr>
              <w:t>单价</w:t>
            </w:r>
            <w:r>
              <w:rPr>
                <w:rFonts w:hint="eastAsia" w:ascii="仿宋_GB2312" w:hAnsi="仿宋_GB2312" w:eastAsia="仿宋_GB2312" w:cs="仿宋_GB2312"/>
                <w:b w:val="0"/>
                <w:bCs w:val="0"/>
                <w:color w:val="000000"/>
                <w:kern w:val="0"/>
                <w:sz w:val="28"/>
                <w:szCs w:val="28"/>
                <w:highlight w:val="none"/>
                <w:lang w:bidi="ar"/>
              </w:rPr>
              <w:t>合同，施工细目结算数量以实际完成并经现场验收合格数量为准。如有新增路段按本项目单价，以实际完成数量经验收合格数量为准。</w:t>
            </w:r>
          </w:p>
          <w:p>
            <w:pPr>
              <w:widowControl/>
              <w:numPr>
                <w:ilvl w:val="0"/>
                <w:numId w:val="0"/>
              </w:numPr>
              <w:ind w:firstLine="840" w:firstLineChars="300"/>
              <w:jc w:val="left"/>
              <w:textAlignment w:val="center"/>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0"/>
                <w:sz w:val="28"/>
                <w:szCs w:val="28"/>
                <w:highlight w:val="none"/>
                <w:lang w:bidi="ar"/>
              </w:rPr>
              <w:t>4</w:t>
            </w:r>
            <w:r>
              <w:rPr>
                <w:rFonts w:hint="eastAsia"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bidi="ar"/>
              </w:rPr>
              <w:t>安全生产专项费用、工程保险费、工伤保险费等应满足国家相关规定费用要求。</w:t>
            </w:r>
            <w:r>
              <w:rPr>
                <w:rFonts w:hint="eastAsia" w:ascii="仿宋_GB2312" w:hAnsi="仿宋_GB2312" w:eastAsia="仿宋_GB2312" w:cs="仿宋_GB2312"/>
                <w:b w:val="0"/>
                <w:bCs w:val="0"/>
                <w:color w:val="000000"/>
                <w:kern w:val="0"/>
                <w:sz w:val="32"/>
                <w:szCs w:val="32"/>
                <w:highlight w:val="none"/>
                <w:lang w:bidi="ar"/>
              </w:rPr>
              <w:t xml:space="preserve">  </w:t>
            </w:r>
          </w:p>
        </w:tc>
      </w:tr>
    </w:tbl>
    <w:p>
      <w:pPr>
        <w:pStyle w:val="77"/>
        <w:keepLines w:val="0"/>
        <w:spacing w:before="0" w:after="0" w:line="560" w:lineRule="exact"/>
        <w:ind w:left="0" w:firstLine="0"/>
        <w:jc w:val="both"/>
        <w:outlineLvl w:val="9"/>
        <w:rPr>
          <w:rFonts w:hint="eastAsia" w:ascii="仿宋" w:hAnsi="仿宋" w:eastAsia="仿宋" w:cs="仿宋"/>
          <w:szCs w:val="32"/>
          <w:highlight w:val="none"/>
        </w:rPr>
      </w:pPr>
      <w:bookmarkStart w:id="354" w:name="_Toc500757156"/>
      <w:bookmarkStart w:id="355" w:name="_Toc500340445"/>
      <w:bookmarkStart w:id="356" w:name="_Toc501008753"/>
    </w:p>
    <w:p>
      <w:pPr>
        <w:pStyle w:val="77"/>
        <w:keepLines w:val="0"/>
        <w:spacing w:before="0" w:after="0" w:line="560" w:lineRule="exact"/>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r>
        <w:rPr>
          <w:rFonts w:hint="eastAsia" w:ascii="仿宋_GB2312" w:eastAsia="仿宋_GB2312"/>
          <w:szCs w:val="32"/>
          <w:highlight w:val="none"/>
        </w:rPr>
        <w:t xml:space="preserve">   </w:t>
      </w:r>
      <w:bookmarkStart w:id="357" w:name="_Toc20079"/>
      <w:r>
        <w:rPr>
          <w:rFonts w:hint="eastAsia" w:ascii="仿宋_GB2312" w:hAnsi="仿宋_GB2312" w:eastAsia="仿宋_GB2312" w:cs="仿宋_GB2312"/>
          <w:szCs w:val="32"/>
          <w:highlight w:val="none"/>
        </w:rPr>
        <w:t>供应商名称（全称并加盖公章）：</w:t>
      </w:r>
      <w:bookmarkEnd w:id="357"/>
      <w:r>
        <w:rPr>
          <w:rFonts w:hint="eastAsia" w:ascii="仿宋_GB2312" w:hAnsi="仿宋_GB2312" w:eastAsia="仿宋_GB2312" w:cs="仿宋_GB2312"/>
          <w:szCs w:val="32"/>
          <w:highlight w:val="none"/>
        </w:rPr>
        <w:t xml:space="preserve"> </w:t>
      </w:r>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58" w:name="_Toc17238"/>
      <w:r>
        <w:rPr>
          <w:rFonts w:hint="eastAsia" w:ascii="仿宋_GB2312" w:hAnsi="仿宋_GB2312" w:eastAsia="仿宋_GB2312" w:cs="仿宋_GB2312"/>
          <w:szCs w:val="32"/>
          <w:highlight w:val="none"/>
        </w:rPr>
        <w:t>供应商代表签字：</w:t>
      </w:r>
      <w:bookmarkEnd w:id="358"/>
    </w:p>
    <w:p>
      <w:pPr>
        <w:pStyle w:val="77"/>
        <w:keepLines w:val="0"/>
        <w:spacing w:before="0" w:after="0" w:line="560" w:lineRule="exact"/>
        <w:ind w:left="0" w:firstLine="5120" w:firstLineChars="1600"/>
        <w:jc w:val="both"/>
        <w:outlineLvl w:val="9"/>
        <w:rPr>
          <w:rFonts w:hint="eastAsia" w:ascii="仿宋_GB2312" w:hAnsi="仿宋_GB2312" w:eastAsia="仿宋_GB2312" w:cs="仿宋_GB2312"/>
          <w:szCs w:val="32"/>
          <w:highlight w:val="none"/>
        </w:rPr>
      </w:pPr>
      <w:bookmarkStart w:id="359" w:name="_Toc7295"/>
      <w:r>
        <w:rPr>
          <w:rFonts w:hint="eastAsia" w:ascii="仿宋_GB2312" w:hAnsi="仿宋_GB2312" w:eastAsia="仿宋_GB2312" w:cs="仿宋_GB2312"/>
          <w:szCs w:val="32"/>
          <w:highlight w:val="none"/>
        </w:rPr>
        <w:t>日期：   年   月   日</w:t>
      </w:r>
      <w:bookmarkEnd w:id="359"/>
    </w:p>
    <w:bookmarkEnd w:id="354"/>
    <w:bookmarkEnd w:id="355"/>
    <w:bookmarkEnd w:id="356"/>
    <w:p>
      <w:pPr>
        <w:pStyle w:val="77"/>
        <w:keepLines w:val="0"/>
        <w:spacing w:before="0" w:after="0" w:line="560" w:lineRule="exact"/>
        <w:ind w:left="0" w:firstLine="4800" w:firstLineChars="1500"/>
        <w:jc w:val="both"/>
        <w:outlineLvl w:val="9"/>
        <w:rPr>
          <w:rFonts w:hint="eastAsia" w:ascii="仿宋_GB2312" w:hAnsi="仿宋_GB2312" w:eastAsia="仿宋_GB2312" w:cs="仿宋_GB2312"/>
          <w:szCs w:val="32"/>
          <w:highlight w:val="none"/>
        </w:rPr>
      </w:pPr>
    </w:p>
    <w:p>
      <w:pPr>
        <w:pStyle w:val="77"/>
        <w:keepLines w:val="0"/>
        <w:spacing w:before="0" w:after="0" w:line="560" w:lineRule="exact"/>
        <w:jc w:val="both"/>
        <w:outlineLvl w:val="9"/>
        <w:rPr>
          <w:rFonts w:hint="eastAsia" w:ascii="宋体" w:hAnsi="宋体" w:eastAsia="宋体"/>
          <w:sz w:val="21"/>
          <w:szCs w:val="21"/>
          <w:highlight w:val="none"/>
          <w:u w:val="single"/>
        </w:rPr>
      </w:pPr>
      <w:r>
        <w:rPr>
          <w:rFonts w:hint="eastAsia" w:ascii="仿宋_GB2312" w:hAnsi="仿宋_GB2312" w:eastAsia="仿宋_GB2312" w:cs="仿宋_GB2312"/>
          <w:szCs w:val="32"/>
          <w:highlight w:val="none"/>
        </w:rPr>
        <w:t xml:space="preserve"> </w:t>
      </w:r>
    </w:p>
    <w:p>
      <w:pPr>
        <w:pStyle w:val="77"/>
        <w:keepLines w:val="0"/>
        <w:spacing w:before="0" w:after="0" w:line="560" w:lineRule="exact"/>
        <w:ind w:left="0" w:firstLine="0"/>
        <w:jc w:val="both"/>
        <w:outlineLvl w:val="9"/>
        <w:rPr>
          <w:rFonts w:hint="eastAsia" w:ascii="宋体" w:hAnsi="宋体" w:eastAsia="宋体"/>
          <w:sz w:val="21"/>
          <w:szCs w:val="21"/>
          <w:highlight w:val="none"/>
          <w:u w:val="single"/>
        </w:rPr>
        <w:sectPr>
          <w:footerReference r:id="rId4" w:type="default"/>
          <w:pgSz w:w="11906" w:h="16838"/>
          <w:pgMar w:top="1418" w:right="1418" w:bottom="964" w:left="1474" w:header="851" w:footer="992" w:gutter="0"/>
          <w:pgNumType w:fmt="decimal"/>
          <w:cols w:space="720" w:num="1"/>
          <w:docGrid w:linePitch="312" w:charSpace="0"/>
        </w:sectPr>
      </w:pPr>
    </w:p>
    <w:bookmarkEnd w:id="350"/>
    <w:bookmarkEnd w:id="351"/>
    <w:bookmarkEnd w:id="352"/>
    <w:bookmarkEnd w:id="353"/>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eastAsia="黑体"/>
          <w:kern w:val="44"/>
          <w:sz w:val="32"/>
          <w:szCs w:val="44"/>
          <w:highlight w:val="none"/>
        </w:rPr>
      </w:pPr>
      <w:bookmarkStart w:id="360" w:name="_Toc22468"/>
      <w:bookmarkStart w:id="361" w:name="_Toc25725"/>
      <w:bookmarkStart w:id="362" w:name="_Toc122257637"/>
      <w:bookmarkStart w:id="363" w:name="_Toc5746"/>
      <w:bookmarkStart w:id="364" w:name="_Toc409439702"/>
      <w:bookmarkStart w:id="365" w:name="_Toc3014"/>
      <w:bookmarkStart w:id="366" w:name="_Toc534883411"/>
      <w:bookmarkStart w:id="367" w:name="_Toc20059"/>
      <w:bookmarkStart w:id="368" w:name="_Toc508286689"/>
      <w:bookmarkStart w:id="369" w:name="_Toc22675"/>
      <w:bookmarkStart w:id="370" w:name="_Toc122750660"/>
      <w:bookmarkStart w:id="371" w:name="_Toc534883369"/>
      <w:bookmarkStart w:id="372" w:name="_Toc18674"/>
      <w:bookmarkStart w:id="373" w:name="_Toc279"/>
      <w:bookmarkStart w:id="374" w:name="_Toc4779"/>
      <w:bookmarkStart w:id="375" w:name="_Toc10657"/>
      <w:bookmarkStart w:id="376" w:name="_Toc1153"/>
      <w:bookmarkStart w:id="377" w:name="_Toc23113"/>
      <w:bookmarkStart w:id="378" w:name="_Toc17766"/>
      <w:r>
        <w:rPr>
          <w:rFonts w:hint="eastAsia" w:ascii="仿宋_GB2312" w:hAnsi="仿宋_GB2312" w:eastAsia="仿宋_GB2312" w:cs="仿宋_GB2312"/>
          <w:b/>
          <w:bCs/>
          <w:kern w:val="44"/>
          <w:sz w:val="44"/>
          <w:szCs w:val="44"/>
          <w:highlight w:val="none"/>
        </w:rPr>
        <w:t>三、供应商法定代表人身份证明书</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pPr>
        <w:keepNext w:val="0"/>
        <w:keepLines w:val="0"/>
        <w:kinsoku/>
        <w:overflowPunct/>
        <w:topLinePunct w:val="0"/>
        <w:autoSpaceDE/>
        <w:bidi w:val="0"/>
        <w:spacing w:line="560" w:lineRule="exact"/>
        <w:ind w:firstLine="800" w:firstLineChars="250"/>
        <w:textAlignment w:val="auto"/>
        <w:rPr>
          <w:rFonts w:ascii="仿宋_GB2312" w:eastAsia="仿宋_GB2312"/>
          <w:sz w:val="32"/>
          <w:szCs w:val="32"/>
          <w:highlight w:val="none"/>
          <w:u w:val="single"/>
        </w:rPr>
      </w:pPr>
    </w:p>
    <w:p>
      <w:pPr>
        <w:keepNext w:val="0"/>
        <w:keepLines w:val="0"/>
        <w:kinsoku/>
        <w:overflowPunct/>
        <w:topLinePunct w:val="0"/>
        <w:autoSpaceDE/>
        <w:bidi w:val="0"/>
        <w:spacing w:line="560" w:lineRule="exact"/>
        <w:ind w:firstLine="960" w:firstLineChars="300"/>
        <w:textAlignment w:val="auto"/>
        <w:rPr>
          <w:rFonts w:ascii="仿宋_GB2312" w:eastAsia="仿宋_GB2312"/>
          <w:sz w:val="32"/>
          <w:szCs w:val="32"/>
          <w:highlight w:val="none"/>
        </w:rPr>
      </w:pPr>
      <w:r>
        <w:rPr>
          <w:rFonts w:hint="eastAsia" w:ascii="仿宋_GB2312" w:eastAsia="仿宋_GB2312"/>
          <w:sz w:val="32"/>
          <w:szCs w:val="32"/>
          <w:highlight w:val="none"/>
          <w:u w:val="single"/>
        </w:rPr>
        <w:t>兹证明（法定代表人姓名，身份证号）</w:t>
      </w:r>
      <w:r>
        <w:rPr>
          <w:rFonts w:hint="eastAsia" w:ascii="仿宋_GB2312" w:eastAsia="仿宋_GB2312"/>
          <w:sz w:val="32"/>
          <w:szCs w:val="32"/>
          <w:highlight w:val="none"/>
        </w:rPr>
        <w:t>是</w:t>
      </w:r>
      <w:r>
        <w:rPr>
          <w:rFonts w:hint="eastAsia" w:ascii="仿宋_GB2312" w:eastAsia="仿宋_GB2312"/>
          <w:sz w:val="32"/>
          <w:szCs w:val="32"/>
          <w:highlight w:val="none"/>
          <w:u w:val="single"/>
        </w:rPr>
        <w:t xml:space="preserve">     （供应商名称）    </w:t>
      </w:r>
      <w:r>
        <w:rPr>
          <w:rFonts w:hint="eastAsia" w:ascii="仿宋_GB2312" w:eastAsia="仿宋_GB2312"/>
          <w:sz w:val="32"/>
          <w:szCs w:val="32"/>
          <w:highlight w:val="none"/>
        </w:rPr>
        <w:t>的法定代表人，在我司担任</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职务。</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特此证明。</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pStyle w:val="77"/>
        <w:keepNext w:val="0"/>
        <w:keepLines w:val="0"/>
        <w:kinsoku/>
        <w:overflowPunct/>
        <w:topLinePunct w:val="0"/>
        <w:autoSpaceDE/>
        <w:bidi w:val="0"/>
        <w:spacing w:before="0" w:after="0" w:line="560" w:lineRule="exact"/>
        <w:textAlignment w:val="auto"/>
        <w:outlineLvl w:val="9"/>
        <w:rPr>
          <w:rFonts w:hint="eastAsia" w:ascii="仿宋_GB2312" w:hAnsi="仿宋_GB2312" w:eastAsia="仿宋_GB2312" w:cs="仿宋_GB2312"/>
          <w:szCs w:val="32"/>
          <w:highlight w:val="none"/>
        </w:rPr>
      </w:pPr>
      <w:r>
        <w:rPr>
          <w:rFonts w:hint="eastAsia" w:ascii="仿宋_GB2312" w:eastAsia="仿宋_GB2312"/>
          <w:szCs w:val="32"/>
          <w:highlight w:val="none"/>
        </w:rPr>
        <w:t xml:space="preserve">           </w:t>
      </w:r>
      <w:bookmarkStart w:id="379" w:name="_Toc1560"/>
      <w:r>
        <w:rPr>
          <w:rFonts w:hint="eastAsia" w:ascii="仿宋_GB2312" w:hAnsi="仿宋_GB2312" w:eastAsia="仿宋_GB2312" w:cs="仿宋_GB2312"/>
          <w:szCs w:val="32"/>
          <w:highlight w:val="none"/>
        </w:rPr>
        <w:t>供应商名称（全称并加盖公章）：</w:t>
      </w:r>
      <w:bookmarkEnd w:id="379"/>
      <w:r>
        <w:rPr>
          <w:rFonts w:hint="eastAsia" w:ascii="仿宋_GB2312" w:hAnsi="仿宋_GB2312" w:eastAsia="仿宋_GB2312" w:cs="仿宋_GB2312"/>
          <w:szCs w:val="32"/>
          <w:highlight w:val="none"/>
        </w:rPr>
        <w:t xml:space="preserve"> </w:t>
      </w:r>
    </w:p>
    <w:p>
      <w:pPr>
        <w:pStyle w:val="77"/>
        <w:keepNext w:val="0"/>
        <w:keepLines w:val="0"/>
        <w:kinsoku/>
        <w:overflowPunct/>
        <w:topLinePunct w:val="0"/>
        <w:autoSpaceDE/>
        <w:bidi w:val="0"/>
        <w:spacing w:before="0" w:after="0" w:line="560" w:lineRule="exact"/>
        <w:ind w:left="0" w:firstLine="5120" w:firstLineChars="1600"/>
        <w:jc w:val="both"/>
        <w:textAlignment w:val="auto"/>
        <w:outlineLvl w:val="9"/>
        <w:rPr>
          <w:rFonts w:hint="eastAsia" w:ascii="仿宋_GB2312" w:hAnsi="仿宋_GB2312" w:eastAsia="仿宋_GB2312" w:cs="仿宋_GB2312"/>
          <w:szCs w:val="32"/>
          <w:highlight w:val="none"/>
        </w:rPr>
      </w:pPr>
      <w:bookmarkStart w:id="380" w:name="_Toc21511"/>
      <w:r>
        <w:rPr>
          <w:rFonts w:hint="eastAsia" w:ascii="仿宋_GB2312" w:hAnsi="仿宋_GB2312" w:eastAsia="仿宋_GB2312" w:cs="仿宋_GB2312"/>
          <w:szCs w:val="32"/>
          <w:highlight w:val="none"/>
        </w:rPr>
        <w:t>供应商代表签字：</w:t>
      </w:r>
      <w:bookmarkEnd w:id="380"/>
    </w:p>
    <w:p>
      <w:pPr>
        <w:pStyle w:val="77"/>
        <w:keepNext w:val="0"/>
        <w:keepLines w:val="0"/>
        <w:kinsoku/>
        <w:overflowPunct/>
        <w:topLinePunct w:val="0"/>
        <w:autoSpaceDE/>
        <w:bidi w:val="0"/>
        <w:spacing w:before="0" w:after="0" w:line="560" w:lineRule="exact"/>
        <w:ind w:left="0" w:firstLine="5120" w:firstLineChars="1600"/>
        <w:jc w:val="both"/>
        <w:textAlignment w:val="auto"/>
        <w:outlineLvl w:val="9"/>
        <w:rPr>
          <w:rFonts w:hint="eastAsia" w:ascii="仿宋_GB2312" w:hAnsi="仿宋_GB2312" w:eastAsia="仿宋_GB2312" w:cs="仿宋_GB2312"/>
          <w:szCs w:val="32"/>
          <w:highlight w:val="none"/>
        </w:rPr>
      </w:pPr>
      <w:bookmarkStart w:id="381" w:name="_Toc19511"/>
      <w:r>
        <w:rPr>
          <w:rFonts w:hint="eastAsia" w:ascii="仿宋_GB2312" w:hAnsi="仿宋_GB2312" w:eastAsia="仿宋_GB2312" w:cs="仿宋_GB2312"/>
          <w:szCs w:val="32"/>
          <w:highlight w:val="none"/>
        </w:rPr>
        <w:t>日期：   年   月   日</w:t>
      </w:r>
      <w:bookmarkEnd w:id="381"/>
    </w:p>
    <w:p>
      <w:pPr>
        <w:pStyle w:val="77"/>
        <w:keepNext w:val="0"/>
        <w:keepLines w:val="0"/>
        <w:kinsoku/>
        <w:overflowPunct/>
        <w:topLinePunct w:val="0"/>
        <w:autoSpaceDE/>
        <w:bidi w:val="0"/>
        <w:spacing w:before="0" w:after="0" w:line="560" w:lineRule="exact"/>
        <w:ind w:left="0" w:firstLine="4800" w:firstLineChars="1500"/>
        <w:jc w:val="both"/>
        <w:textAlignment w:val="auto"/>
        <w:outlineLvl w:val="9"/>
        <w:rPr>
          <w:rFonts w:hint="eastAsia" w:ascii="仿宋_GB2312" w:hAnsi="仿宋_GB2312" w:eastAsia="仿宋_GB2312" w:cs="仿宋_GB231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bookmarkStart w:id="382" w:name="_Toc534883412"/>
      <w:bookmarkStart w:id="383" w:name="_Toc534883370"/>
      <w:bookmarkStart w:id="384" w:name="_Toc409439703"/>
      <w:bookmarkStart w:id="385" w:name="_Toc508286690"/>
      <w:bookmarkStart w:id="386" w:name="_Toc122257638"/>
      <w:bookmarkStart w:id="387" w:name="_Toc122750661"/>
      <w:r>
        <w:rPr>
          <w:rFonts w:hint="eastAsia" w:ascii="仿宋_GB2312" w:eastAsia="仿宋_GB2312"/>
          <w:sz w:val="32"/>
          <w:szCs w:val="32"/>
          <w:highlight w:val="none"/>
        </w:rPr>
        <w:t xml:space="preserve">                   </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44"/>
          <w:szCs w:val="44"/>
          <w:highlight w:val="none"/>
        </w:rPr>
      </w:pPr>
      <w:bookmarkStart w:id="388" w:name="_Toc11531"/>
      <w:bookmarkStart w:id="389" w:name="_Toc2959"/>
      <w:r>
        <w:rPr>
          <w:rFonts w:hint="eastAsia" w:ascii="仿宋_GB2312" w:hAnsi="仿宋_GB2312" w:eastAsia="仿宋_GB2312" w:cs="仿宋_GB2312"/>
          <w:b/>
          <w:bCs/>
          <w:kern w:val="44"/>
          <w:sz w:val="44"/>
          <w:szCs w:val="44"/>
          <w:highlight w:val="none"/>
        </w:rPr>
        <w:t>（供应商法定代表人身份证复印件并盖章）</w:t>
      </w:r>
      <w:bookmarkEnd w:id="382"/>
      <w:bookmarkEnd w:id="383"/>
      <w:bookmarkEnd w:id="388"/>
      <w:bookmarkEnd w:id="389"/>
      <w:bookmarkStart w:id="390" w:name="_Toc534883371"/>
      <w:bookmarkStart w:id="391" w:name="_Toc534883413"/>
    </w:p>
    <w:p>
      <w:pPr>
        <w:keepNext w:val="0"/>
        <w:keepLines w:val="0"/>
        <w:kinsoku/>
        <w:overflowPunct/>
        <w:topLinePunct w:val="0"/>
        <w:autoSpaceDE/>
        <w:bidi w:val="0"/>
        <w:spacing w:line="560" w:lineRule="exact"/>
        <w:jc w:val="center"/>
        <w:textAlignment w:val="auto"/>
        <w:rPr>
          <w:rFonts w:hint="eastAsia" w:ascii="仿宋_GB2312" w:hAnsi="仿宋_GB2312" w:eastAsia="仿宋_GB2312" w:cs="仿宋_GB2312"/>
          <w:b/>
          <w:bCs/>
          <w:kern w:val="44"/>
          <w:sz w:val="44"/>
          <w:szCs w:val="44"/>
          <w:highlight w:val="none"/>
        </w:rPr>
      </w:pPr>
      <w:r>
        <w:rPr>
          <w:rFonts w:hint="eastAsia" w:ascii="仿宋_GB2312" w:hAnsi="仿宋_GB2312" w:eastAsia="仿宋_GB2312" w:cs="仿宋_GB2312"/>
          <w:b/>
          <w:bCs/>
          <w:kern w:val="44"/>
          <w:sz w:val="44"/>
          <w:szCs w:val="44"/>
          <w:highlight w:val="none"/>
        </w:rPr>
        <w:br w:type="page"/>
      </w:r>
    </w:p>
    <w:p>
      <w:pPr>
        <w:keepNext w:val="0"/>
        <w:keepLines w:val="0"/>
        <w:kinsoku/>
        <w:overflowPunct/>
        <w:topLinePunct w:val="0"/>
        <w:autoSpaceDE/>
        <w:bidi w:val="0"/>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392" w:name="_Toc27481"/>
      <w:bookmarkStart w:id="393" w:name="_Toc30892"/>
      <w:bookmarkStart w:id="394" w:name="_Toc7407"/>
      <w:bookmarkStart w:id="395" w:name="_Toc32278"/>
      <w:bookmarkStart w:id="396" w:name="_Toc3228"/>
      <w:bookmarkStart w:id="397" w:name="_Toc13546"/>
      <w:bookmarkStart w:id="398" w:name="_Toc19752"/>
      <w:bookmarkStart w:id="399" w:name="_Toc27266"/>
      <w:bookmarkStart w:id="400" w:name="_Toc28966"/>
      <w:bookmarkStart w:id="401" w:name="_Toc11442"/>
      <w:bookmarkStart w:id="402" w:name="_Toc15360"/>
      <w:bookmarkStart w:id="403" w:name="_Toc179"/>
      <w:bookmarkStart w:id="404" w:name="_Toc26318"/>
      <w:r>
        <w:rPr>
          <w:rFonts w:hint="eastAsia" w:ascii="仿宋_GB2312" w:hAnsi="仿宋_GB2312" w:eastAsia="仿宋_GB2312" w:cs="仿宋_GB2312"/>
          <w:b/>
          <w:bCs/>
          <w:kern w:val="44"/>
          <w:sz w:val="44"/>
          <w:szCs w:val="44"/>
          <w:highlight w:val="none"/>
        </w:rPr>
        <w:t>四、供应商法定代表人授权委托书</w:t>
      </w:r>
      <w:bookmarkEnd w:id="384"/>
      <w:bookmarkEnd w:id="385"/>
      <w:bookmarkEnd w:id="386"/>
      <w:bookmarkEnd w:id="387"/>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lang w:eastAsia="zh-CN"/>
        </w:rPr>
        <w:t>福路通资源循环（福建）有限公司</w:t>
      </w:r>
      <w:r>
        <w:rPr>
          <w:rFonts w:hint="eastAsia" w:ascii="仿宋_GB2312" w:eastAsia="仿宋_GB2312"/>
          <w:sz w:val="32"/>
          <w:szCs w:val="32"/>
          <w:highlight w:val="none"/>
        </w:rPr>
        <w:t>：</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ind w:firstLine="645"/>
        <w:textAlignment w:val="auto"/>
        <w:rPr>
          <w:rFonts w:ascii="仿宋_GB2312" w:eastAsia="仿宋_GB2312"/>
          <w:sz w:val="32"/>
          <w:szCs w:val="32"/>
          <w:highlight w:val="none"/>
        </w:rPr>
      </w:pPr>
      <w:r>
        <w:rPr>
          <w:rFonts w:hint="eastAsia" w:ascii="仿宋_GB2312" w:eastAsia="仿宋_GB2312"/>
          <w:color w:val="000000"/>
          <w:sz w:val="32"/>
          <w:szCs w:val="32"/>
          <w:highlight w:val="none"/>
          <w:u w:val="single"/>
        </w:rPr>
        <w:t>（供应商名称）</w:t>
      </w:r>
      <w:r>
        <w:rPr>
          <w:rFonts w:hint="eastAsia" w:ascii="仿宋_GB2312" w:eastAsia="仿宋_GB2312"/>
          <w:sz w:val="32"/>
          <w:szCs w:val="32"/>
          <w:highlight w:val="none"/>
        </w:rPr>
        <w:t>是中华人民共和国合法企业，法定地址</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color w:val="000000"/>
          <w:sz w:val="32"/>
          <w:szCs w:val="32"/>
          <w:highlight w:val="none"/>
          <w:u w:val="single"/>
        </w:rPr>
        <w:t>（供应商法定代表人姓名）</w:t>
      </w:r>
      <w:r>
        <w:rPr>
          <w:rFonts w:hint="eastAsia" w:ascii="仿宋_GB2312" w:eastAsia="仿宋_GB2312"/>
          <w:sz w:val="32"/>
          <w:szCs w:val="32"/>
          <w:highlight w:val="none"/>
        </w:rPr>
        <w:t>特授权</w:t>
      </w:r>
      <w:r>
        <w:rPr>
          <w:rFonts w:hint="eastAsia" w:ascii="仿宋_GB2312" w:eastAsia="仿宋_GB2312"/>
          <w:sz w:val="32"/>
          <w:szCs w:val="32"/>
          <w:highlight w:val="none"/>
          <w:u w:val="single"/>
        </w:rPr>
        <w:t>（被授权人姓名及身份证号码）</w:t>
      </w:r>
      <w:r>
        <w:rPr>
          <w:rFonts w:hint="eastAsia" w:ascii="仿宋_GB2312" w:eastAsia="仿宋_GB2312"/>
          <w:sz w:val="32"/>
          <w:szCs w:val="32"/>
          <w:highlight w:val="none"/>
        </w:rPr>
        <w:t>代表我单位全权办理对</w:t>
      </w:r>
      <w:r>
        <w:rPr>
          <w:rFonts w:hint="eastAsia" w:ascii="仿宋_GB2312" w:hAnsi="仿宋_GB2312" w:eastAsia="仿宋_GB2312" w:cs="仿宋_GB2312"/>
          <w:sz w:val="32"/>
          <w:szCs w:val="32"/>
          <w:highlight w:val="none"/>
          <w:u w:val="single"/>
          <w:lang w:val="en-US" w:eastAsia="zh-CN"/>
        </w:rPr>
        <w:t>旋转桶式活动护栏的拼装及配送劳务服务</w:t>
      </w:r>
      <w:r>
        <w:rPr>
          <w:rFonts w:hint="eastAsia" w:ascii="仿宋_GB2312" w:eastAsia="仿宋_GB2312"/>
          <w:sz w:val="32"/>
          <w:szCs w:val="32"/>
          <w:highlight w:val="none"/>
        </w:rPr>
        <w:t>的报价、签约等具体工作，并签署全部有关的文件、协议及合同。</w:t>
      </w:r>
    </w:p>
    <w:p>
      <w:pPr>
        <w:keepNext w:val="0"/>
        <w:keepLines w:val="0"/>
        <w:kinsoku/>
        <w:overflowPunct/>
        <w:topLinePunct w:val="0"/>
        <w:autoSpaceDE/>
        <w:bidi w:val="0"/>
        <w:spacing w:line="560" w:lineRule="exact"/>
        <w:ind w:firstLine="645"/>
        <w:textAlignment w:val="auto"/>
        <w:rPr>
          <w:rFonts w:ascii="仿宋_GB2312" w:eastAsia="仿宋_GB2312"/>
          <w:sz w:val="32"/>
          <w:szCs w:val="32"/>
          <w:highlight w:val="none"/>
        </w:rPr>
      </w:pPr>
      <w:r>
        <w:rPr>
          <w:rFonts w:hint="eastAsia" w:ascii="仿宋_GB2312" w:eastAsia="仿宋_GB2312"/>
          <w:sz w:val="32"/>
          <w:szCs w:val="32"/>
          <w:highlight w:val="none"/>
        </w:rPr>
        <w:t>我单位对被授权人的签名负全部责任。</w:t>
      </w:r>
    </w:p>
    <w:p>
      <w:pPr>
        <w:keepNext w:val="0"/>
        <w:keepLines w:val="0"/>
        <w:kinsoku/>
        <w:overflowPunct/>
        <w:topLinePunct w:val="0"/>
        <w:autoSpaceDE/>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在撤销授权的书面通知以前，本授权书一直有效。被授权人签署的所有文件（在授权书有效期内签署的）不因授权的撤销而失效。</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被授权人：（签字）             </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供应商法定代表人：（签字并盖公章）</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sz w:val="44"/>
          <w:szCs w:val="44"/>
          <w:highlight w:val="none"/>
        </w:rPr>
      </w:pPr>
      <w:bookmarkStart w:id="405" w:name="_Toc20925"/>
      <w:bookmarkStart w:id="406" w:name="_Toc4209"/>
      <w:bookmarkStart w:id="407" w:name="_Toc11899"/>
      <w:bookmarkStart w:id="408" w:name="_Toc2201"/>
      <w:r>
        <w:rPr>
          <w:rFonts w:hint="eastAsia" w:ascii="仿宋_GB2312" w:hAnsi="仿宋_GB2312" w:eastAsia="仿宋_GB2312" w:cs="仿宋_GB2312"/>
          <w:b/>
          <w:bCs/>
          <w:kern w:val="44"/>
          <w:sz w:val="44"/>
          <w:szCs w:val="44"/>
          <w:highlight w:val="none"/>
        </w:rPr>
        <w:t>（供应商被授权人身份证复印件</w:t>
      </w:r>
      <w:bookmarkStart w:id="409" w:name="_Toc122257640"/>
      <w:bookmarkStart w:id="410" w:name="_Toc122750662"/>
      <w:bookmarkStart w:id="411" w:name="_Toc409439704"/>
      <w:bookmarkStart w:id="412" w:name="_Toc508286691"/>
      <w:r>
        <w:rPr>
          <w:rFonts w:hint="eastAsia" w:ascii="仿宋_GB2312" w:hAnsi="仿宋_GB2312" w:eastAsia="仿宋_GB2312" w:cs="仿宋_GB2312"/>
          <w:b/>
          <w:bCs/>
          <w:kern w:val="44"/>
          <w:sz w:val="44"/>
          <w:szCs w:val="44"/>
          <w:highlight w:val="none"/>
        </w:rPr>
        <w:t>并盖章）</w:t>
      </w:r>
      <w:bookmarkEnd w:id="405"/>
      <w:bookmarkEnd w:id="406"/>
      <w:bookmarkEnd w:id="407"/>
      <w:bookmarkEnd w:id="408"/>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sz w:val="44"/>
          <w:highlight w:val="none"/>
        </w:rPr>
      </w:pPr>
      <w:bookmarkStart w:id="413" w:name="_Toc21115"/>
      <w:bookmarkStart w:id="414" w:name="_Toc917"/>
      <w:bookmarkStart w:id="415" w:name="_Toc22403"/>
      <w:bookmarkStart w:id="416" w:name="_Toc534883372"/>
      <w:bookmarkStart w:id="417" w:name="_Toc10390"/>
      <w:bookmarkStart w:id="418" w:name="_Toc20647"/>
      <w:bookmarkStart w:id="419" w:name="_Toc23922"/>
      <w:bookmarkStart w:id="420" w:name="_Toc6452"/>
      <w:bookmarkStart w:id="421" w:name="_Toc22524"/>
      <w:bookmarkStart w:id="422" w:name="_Toc201"/>
      <w:bookmarkStart w:id="423" w:name="_Toc1898"/>
      <w:bookmarkStart w:id="424" w:name="_Toc534883414"/>
      <w:bookmarkStart w:id="425" w:name="_Toc26202"/>
      <w:bookmarkStart w:id="426" w:name="_Toc18855"/>
      <w:bookmarkStart w:id="427" w:name="_Toc18709"/>
      <w:bookmarkStart w:id="428" w:name="OLE_LINK12"/>
      <w:r>
        <w:rPr>
          <w:rFonts w:hint="eastAsia" w:ascii="仿宋_GB2312" w:hAnsi="仿宋_GB2312" w:eastAsia="仿宋_GB2312" w:cs="仿宋_GB2312"/>
          <w:b/>
          <w:bCs/>
          <w:kern w:val="44"/>
          <w:sz w:val="44"/>
          <w:szCs w:val="44"/>
          <w:highlight w:val="none"/>
        </w:rPr>
        <w:t>五、</w:t>
      </w:r>
      <w:bookmarkEnd w:id="409"/>
      <w:bookmarkEnd w:id="410"/>
      <w:r>
        <w:rPr>
          <w:rFonts w:hint="eastAsia" w:ascii="仿宋_GB2312" w:hAnsi="仿宋_GB2312" w:eastAsia="仿宋_GB2312" w:cs="仿宋_GB2312"/>
          <w:b/>
          <w:bCs/>
          <w:kern w:val="44"/>
          <w:sz w:val="44"/>
          <w:szCs w:val="44"/>
          <w:highlight w:val="none"/>
        </w:rPr>
        <w:t>资质文件</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pStyle w:val="29"/>
        <w:keepNext w:val="0"/>
        <w:keepLines w:val="0"/>
        <w:numPr>
          <w:ilvl w:val="255"/>
          <w:numId w:val="0"/>
        </w:numPr>
        <w:kinsoku/>
        <w:overflowPunct/>
        <w:topLinePunct w:val="0"/>
        <w:autoSpaceDE/>
        <w:bidi w:val="0"/>
        <w:spacing w:line="560" w:lineRule="exact"/>
        <w:ind w:left="840" w:leftChars="400"/>
        <w:textAlignment w:val="auto"/>
        <w:rPr>
          <w:rFonts w:hint="eastAsia"/>
          <w:highlight w:val="none"/>
        </w:rPr>
      </w:pPr>
    </w:p>
    <w:bookmarkEnd w:id="428"/>
    <w:p>
      <w:pPr>
        <w:keepNext w:val="0"/>
        <w:keepLines w:val="0"/>
        <w:kinsoku/>
        <w:overflowPunct/>
        <w:topLinePunct w:val="0"/>
        <w:autoSpaceDE/>
        <w:bidi w:val="0"/>
        <w:spacing w:line="560" w:lineRule="exact"/>
        <w:textAlignment w:val="auto"/>
        <w:rPr>
          <w:rFonts w:ascii="仿宋_GB2312" w:eastAsia="仿宋_GB2312"/>
          <w:sz w:val="32"/>
          <w:szCs w:val="32"/>
          <w:highlight w:val="none"/>
        </w:rPr>
      </w:pPr>
      <w:bookmarkStart w:id="429" w:name="OLE_LINK31"/>
      <w:r>
        <w:rPr>
          <w:rFonts w:hint="eastAsia" w:ascii="仿宋_GB2312" w:eastAsia="仿宋_GB2312"/>
          <w:sz w:val="32"/>
          <w:szCs w:val="32"/>
          <w:highlight w:val="none"/>
        </w:rPr>
        <w:t>供应商需提供以下资质文件：</w:t>
      </w:r>
    </w:p>
    <w:p>
      <w:pPr>
        <w:keepNext w:val="0"/>
        <w:keepLines w:val="0"/>
        <w:kinsoku/>
        <w:overflowPunct/>
        <w:topLinePunct w:val="0"/>
        <w:autoSpaceDE/>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有效的工商营业执照副本复印件、税务登记证副本复印件（或提供三证合一的工商营业执照副本复印件）</w:t>
      </w:r>
    </w:p>
    <w:bookmarkEnd w:id="429"/>
    <w:p>
      <w:pPr>
        <w:pStyle w:val="22"/>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2.有效的企业《安全生产许可证》</w:t>
      </w:r>
      <w:bookmarkStart w:id="430" w:name="OLE_LINK30"/>
      <w:r>
        <w:rPr>
          <w:rFonts w:hint="eastAsia" w:ascii="仿宋_GB2312" w:hAnsi="仿宋_GB2312" w:eastAsia="仿宋_GB2312" w:cs="仿宋_GB2312"/>
          <w:kern w:val="0"/>
          <w:sz w:val="32"/>
          <w:szCs w:val="32"/>
          <w:highlight w:val="none"/>
          <w:lang w:val="en-US" w:eastAsia="zh-CN" w:bidi="ar-SA"/>
        </w:rPr>
        <w:t>复印件</w:t>
      </w:r>
      <w:bookmarkEnd w:id="430"/>
      <w:r>
        <w:rPr>
          <w:rFonts w:hint="eastAsia" w:ascii="仿宋_GB2312" w:hAnsi="仿宋_GB2312" w:eastAsia="仿宋_GB2312" w:cs="仿宋_GB2312"/>
          <w:kern w:val="0"/>
          <w:sz w:val="32"/>
          <w:szCs w:val="32"/>
          <w:highlight w:val="none"/>
          <w:lang w:val="en-US" w:eastAsia="zh-CN" w:bidi="ar-SA"/>
        </w:rPr>
        <w:t>。</w:t>
      </w:r>
    </w:p>
    <w:p>
      <w:pPr>
        <w:keepNext w:val="0"/>
        <w:keepLines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w:t>
      </w:r>
      <w:r>
        <w:rPr>
          <w:rFonts w:hint="eastAsia" w:ascii="仿宋_GB2312" w:hAnsi="仿宋_GB2312" w:eastAsia="仿宋_GB2312" w:cs="仿宋_GB2312"/>
          <w:kern w:val="0"/>
          <w:sz w:val="32"/>
          <w:szCs w:val="32"/>
          <w:highlight w:val="none"/>
          <w:lang w:val="en-US" w:eastAsia="en-US" w:bidi="ar-SA"/>
        </w:rPr>
        <w:t>有效的</w:t>
      </w:r>
      <w:r>
        <w:rPr>
          <w:rFonts w:hint="eastAsia" w:ascii="仿宋_GB2312" w:hAnsi="仿宋_GB2312" w:eastAsia="仿宋_GB2312" w:cs="仿宋_GB2312"/>
          <w:kern w:val="0"/>
          <w:sz w:val="32"/>
          <w:szCs w:val="32"/>
          <w:highlight w:val="none"/>
          <w:lang w:val="en-US" w:eastAsia="zh-CN" w:bidi="ar-SA"/>
        </w:rPr>
        <w:t>其他</w:t>
      </w:r>
      <w:r>
        <w:rPr>
          <w:rFonts w:hint="eastAsia" w:ascii="仿宋_GB2312" w:hAnsi="仿宋_GB2312" w:eastAsia="仿宋_GB2312" w:cs="仿宋_GB2312"/>
          <w:kern w:val="0"/>
          <w:sz w:val="32"/>
          <w:szCs w:val="32"/>
          <w:highlight w:val="none"/>
          <w:lang w:val="en-US" w:eastAsia="en-US" w:bidi="ar-SA"/>
        </w:rPr>
        <w:t>证书</w:t>
      </w:r>
      <w:r>
        <w:rPr>
          <w:rFonts w:hint="eastAsia" w:ascii="仿宋_GB2312" w:hAnsi="仿宋_GB2312" w:eastAsia="仿宋_GB2312" w:cs="仿宋_GB2312"/>
          <w:kern w:val="0"/>
          <w:sz w:val="32"/>
          <w:szCs w:val="32"/>
          <w:highlight w:val="none"/>
          <w:lang w:val="en-US" w:eastAsia="zh-CN" w:bidi="ar-SA"/>
        </w:rPr>
        <w:t>复印件</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以上资料</w:t>
      </w:r>
      <w:bookmarkStart w:id="431" w:name="OLE_LINK13"/>
      <w:r>
        <w:rPr>
          <w:rFonts w:hint="eastAsia" w:ascii="仿宋_GB2312" w:eastAsia="仿宋_GB2312"/>
          <w:sz w:val="32"/>
          <w:szCs w:val="32"/>
          <w:highlight w:val="none"/>
        </w:rPr>
        <w:t>复印件加盖公章</w:t>
      </w:r>
      <w:bookmarkEnd w:id="431"/>
      <w:r>
        <w:rPr>
          <w:rFonts w:hint="eastAsia" w:ascii="仿宋_GB2312" w:eastAsia="仿宋_GB2312"/>
          <w:sz w:val="32"/>
          <w:szCs w:val="32"/>
          <w:highlight w:val="none"/>
        </w:rPr>
        <w:t>，装订为响应文件的一部分。</w:t>
      </w: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ascii="仿宋_GB2312" w:eastAsia="仿宋_GB2312"/>
          <w:sz w:val="32"/>
          <w:szCs w:val="32"/>
          <w:highlight w:val="none"/>
        </w:rPr>
      </w:pPr>
    </w:p>
    <w:p>
      <w:pPr>
        <w:keepNext w:val="0"/>
        <w:keepLines w:val="0"/>
        <w:kinsoku/>
        <w:overflowPunct/>
        <w:topLinePunct w:val="0"/>
        <w:autoSpaceDE/>
        <w:bidi w:val="0"/>
        <w:spacing w:line="560" w:lineRule="exact"/>
        <w:textAlignment w:val="auto"/>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br w:type="page"/>
      </w:r>
    </w:p>
    <w:p>
      <w:pPr>
        <w:keepNext w:val="0"/>
        <w:keepLines w:val="0"/>
        <w:kinsoku/>
        <w:overflowPunct/>
        <w:topLinePunct w:val="0"/>
        <w:autoSpaceDE/>
        <w:bidi w:val="0"/>
        <w:snapToGrid w:val="0"/>
        <w:spacing w:line="560" w:lineRule="exact"/>
        <w:textAlignment w:val="auto"/>
        <w:rPr>
          <w:rFonts w:eastAsia="仿宋_GB2312"/>
          <w:b/>
          <w:sz w:val="32"/>
          <w:szCs w:val="32"/>
          <w:highlight w:val="none"/>
        </w:rPr>
        <w:sectPr>
          <w:pgSz w:w="11906" w:h="16838"/>
          <w:pgMar w:top="1440" w:right="1418" w:bottom="1440" w:left="1588" w:header="851" w:footer="992" w:gutter="0"/>
          <w:pgNumType w:fmt="decimal"/>
          <w:cols w:space="720" w:num="1"/>
          <w:docGrid w:type="lines" w:linePitch="317" w:charSpace="204"/>
        </w:sectPr>
      </w:pPr>
      <w:bookmarkStart w:id="432" w:name="_Toc16852"/>
      <w:bookmarkStart w:id="433" w:name="_Toc1122"/>
      <w:bookmarkStart w:id="434" w:name="_Toc3538"/>
      <w:bookmarkStart w:id="435" w:name="_Toc21267"/>
      <w:bookmarkStart w:id="436" w:name="_Toc5331"/>
      <w:bookmarkStart w:id="437" w:name="_Toc20229"/>
      <w:bookmarkStart w:id="438" w:name="_Toc26328"/>
      <w:bookmarkStart w:id="439" w:name="_Toc17405"/>
      <w:bookmarkStart w:id="440" w:name="_Toc8818"/>
      <w:bookmarkStart w:id="441" w:name="_Toc14434"/>
      <w:bookmarkStart w:id="442" w:name="_Toc31507"/>
      <w:bookmarkStart w:id="443" w:name="_Toc28230"/>
      <w:bookmarkStart w:id="444" w:name="OLE_LINK15"/>
    </w:p>
    <w:bookmarkEnd w:id="432"/>
    <w:bookmarkEnd w:id="433"/>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445" w:name="_Toc22981"/>
      <w:bookmarkStart w:id="446" w:name="_Toc5528"/>
      <w:bookmarkStart w:id="447" w:name="_Toc7600"/>
      <w:r>
        <w:rPr>
          <w:rFonts w:hint="eastAsia" w:ascii="仿宋_GB2312" w:hAnsi="仿宋_GB2312" w:eastAsia="仿宋_GB2312" w:cs="仿宋_GB2312"/>
          <w:b/>
          <w:bCs/>
          <w:kern w:val="44"/>
          <w:sz w:val="44"/>
          <w:szCs w:val="44"/>
          <w:highlight w:val="none"/>
          <w:lang w:val="en-US" w:eastAsia="zh-CN"/>
        </w:rPr>
        <w:t>六</w:t>
      </w:r>
      <w:r>
        <w:rPr>
          <w:rFonts w:hint="eastAsia" w:ascii="仿宋_GB2312" w:hAnsi="仿宋_GB2312" w:eastAsia="仿宋_GB2312" w:cs="仿宋_GB2312"/>
          <w:b/>
          <w:bCs/>
          <w:kern w:val="44"/>
          <w:sz w:val="44"/>
          <w:szCs w:val="44"/>
          <w:highlight w:val="none"/>
        </w:rPr>
        <w:t>、其他文件</w:t>
      </w:r>
      <w:bookmarkEnd w:id="434"/>
      <w:bookmarkEnd w:id="435"/>
      <w:bookmarkEnd w:id="436"/>
      <w:bookmarkEnd w:id="437"/>
      <w:bookmarkEnd w:id="438"/>
      <w:bookmarkEnd w:id="439"/>
      <w:bookmarkEnd w:id="440"/>
      <w:bookmarkEnd w:id="441"/>
      <w:bookmarkEnd w:id="442"/>
      <w:bookmarkEnd w:id="443"/>
      <w:bookmarkEnd w:id="445"/>
      <w:bookmarkEnd w:id="446"/>
      <w:bookmarkEnd w:id="447"/>
    </w:p>
    <w:bookmarkEnd w:id="444"/>
    <w:p>
      <w:pPr>
        <w:keepNext w:val="0"/>
        <w:keepLines w:val="0"/>
        <w:kinsoku/>
        <w:wordWrap w:val="0"/>
        <w:overflowPunct/>
        <w:topLinePunct w:val="0"/>
        <w:autoSpaceDE/>
        <w:bidi w:val="0"/>
        <w:spacing w:line="560" w:lineRule="exact"/>
        <w:ind w:firstLine="640" w:firstLineChars="200"/>
        <w:textAlignment w:val="auto"/>
        <w:rPr>
          <w:rFonts w:ascii="仿宋_GB2312" w:eastAsia="仿宋_GB2312"/>
          <w:sz w:val="32"/>
          <w:szCs w:val="32"/>
          <w:highlight w:val="none"/>
        </w:rPr>
      </w:pPr>
    </w:p>
    <w:p>
      <w:pPr>
        <w:keepNext w:val="0"/>
        <w:keepLines w:val="0"/>
        <w:kinsoku/>
        <w:wordWrap w:val="0"/>
        <w:overflowPunct/>
        <w:topLinePunct w:val="0"/>
        <w:autoSpaceDE/>
        <w:bidi w:val="0"/>
        <w:spacing w:line="560" w:lineRule="exact"/>
        <w:ind w:firstLine="640" w:firstLineChars="200"/>
        <w:textAlignment w:val="auto"/>
        <w:rPr>
          <w:rFonts w:hint="eastAsia" w:ascii="仿宋_GB2312" w:eastAsia="仿宋_GB2312"/>
          <w:sz w:val="32"/>
          <w:szCs w:val="32"/>
          <w:highlight w:val="none"/>
          <w:lang w:eastAsia="zh-CN"/>
        </w:rPr>
      </w:pPr>
      <w:r>
        <w:rPr>
          <w:rFonts w:ascii="仿宋_GB2312" w:eastAsia="仿宋_GB2312"/>
          <w:sz w:val="32"/>
          <w:szCs w:val="32"/>
          <w:highlight w:val="none"/>
        </w:rPr>
        <w:t>1.</w:t>
      </w:r>
      <w:r>
        <w:rPr>
          <w:rFonts w:hint="eastAsia" w:ascii="仿宋_GB2312" w:eastAsia="仿宋_GB2312"/>
          <w:sz w:val="32"/>
          <w:szCs w:val="32"/>
          <w:highlight w:val="none"/>
        </w:rPr>
        <w:t>投标保证金（银行回执单，复印件加盖公章）</w:t>
      </w:r>
      <w:r>
        <w:rPr>
          <w:rFonts w:hint="eastAsia" w:ascii="仿宋_GB2312" w:eastAsia="仿宋_GB2312"/>
          <w:sz w:val="32"/>
          <w:szCs w:val="32"/>
          <w:highlight w:val="none"/>
          <w:lang w:eastAsia="zh-CN"/>
        </w:rPr>
        <w:t>。</w:t>
      </w:r>
    </w:p>
    <w:p>
      <w:pPr>
        <w:keepNext w:val="0"/>
        <w:keepLines w:val="0"/>
        <w:numPr>
          <w:ilvl w:val="0"/>
          <w:numId w:val="0"/>
        </w:numPr>
        <w:kinsoku/>
        <w:wordWrap w:val="0"/>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2.</w:t>
      </w:r>
      <w:bookmarkStart w:id="448" w:name="OLE_LINK21"/>
      <w:r>
        <w:rPr>
          <w:rFonts w:hint="eastAsia" w:ascii="仿宋_GB2312" w:hAnsi="仿宋_GB2312" w:eastAsia="仿宋_GB2312" w:cs="仿宋_GB2312"/>
          <w:color w:val="000000"/>
          <w:sz w:val="32"/>
          <w:szCs w:val="32"/>
          <w:highlight w:val="none"/>
        </w:rPr>
        <w:t>近2年内未被国家企业信用信息公示系统列入经营异常名录或者严重违法失信名单的（应提供企业在国家企业信用信息公示系统http://www.gsxt.gov.cn中公示的“企业信用信息”之“基础信息”“列入经营异常名录”“列入严重违法失信企业名单（黑名单）信息”（网页截图））。</w:t>
      </w:r>
      <w:bookmarkEnd w:id="448"/>
    </w:p>
    <w:p>
      <w:pPr>
        <w:keepNext w:val="0"/>
        <w:keepLines w:val="0"/>
        <w:kinsoku/>
        <w:wordWrap w:val="0"/>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.企业、法定代表人未被列入失信被执行人名单（应提供企业、企业法定代表人在中国执行信息公开网http://zxgk.court.gov.cn中“综合查询被执行人-全国法院”查询的信息（网页截图））。</w:t>
      </w: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宋体" w:cs="Times New Roman"/>
          <w:b/>
          <w:color w:val="393939"/>
          <w:sz w:val="32"/>
          <w:szCs w:val="32"/>
          <w:highlight w:val="none"/>
        </w:rPr>
      </w:pPr>
      <w:bookmarkStart w:id="449" w:name="_Toc1224"/>
      <w:r>
        <w:rPr>
          <w:rFonts w:hint="eastAsia" w:ascii="仿宋_GB2312" w:hAnsi="仿宋_GB2312" w:eastAsia="仿宋_GB2312" w:cs="仿宋_GB2312"/>
          <w:b/>
          <w:bCs/>
          <w:kern w:val="44"/>
          <w:sz w:val="44"/>
          <w:szCs w:val="44"/>
          <w:highlight w:val="none"/>
          <w:lang w:val="en-US" w:eastAsia="zh-CN"/>
        </w:rPr>
        <w:t>七、承诺函</w:t>
      </w:r>
      <w:bookmarkEnd w:id="449"/>
    </w:p>
    <w:p>
      <w:pPr>
        <w:keepNext w:val="0"/>
        <w:keepLines w:val="0"/>
        <w:pageBreakBefore w:val="0"/>
        <w:kinsoku/>
        <w:overflowPunct/>
        <w:topLinePunct w:val="0"/>
        <w:autoSpaceDE/>
        <w:autoSpaceDN/>
        <w:bidi w:val="0"/>
        <w:adjustRightInd/>
        <w:snapToGrid/>
        <w:spacing w:before="158" w:beforeLines="50" w:after="158" w:afterLines="50" w:line="560" w:lineRule="exact"/>
        <w:textAlignment w:val="auto"/>
        <w:rPr>
          <w:rFonts w:hint="eastAsia" w:ascii="仿宋_GB2312" w:hAnsi="仿宋_GB2312" w:eastAsia="仿宋_GB2312" w:cs="仿宋_GB2312"/>
          <w:b/>
          <w:color w:val="393939"/>
          <w:sz w:val="32"/>
          <w:szCs w:val="32"/>
          <w:highlight w:val="none"/>
        </w:rPr>
      </w:pPr>
    </w:p>
    <w:p>
      <w:pPr>
        <w:keepNext w:val="0"/>
        <w:keepLines w:val="0"/>
        <w:pageBreakBefore w:val="0"/>
        <w:kinsoku/>
        <w:overflowPunct/>
        <w:topLinePunct w:val="0"/>
        <w:autoSpaceDE/>
        <w:autoSpaceDN/>
        <w:bidi w:val="0"/>
        <w:adjustRightInd/>
        <w:snapToGrid/>
        <w:spacing w:before="158" w:beforeLines="50" w:after="158" w:afterLines="50" w:line="560" w:lineRule="exact"/>
        <w:textAlignment w:val="auto"/>
        <w:rPr>
          <w:rFonts w:hint="eastAsia" w:ascii="仿宋_GB2312" w:hAnsi="仿宋_GB2312" w:eastAsia="仿宋_GB2312" w:cs="仿宋_GB2312"/>
          <w:b/>
          <w:color w:val="393939"/>
          <w:sz w:val="32"/>
          <w:szCs w:val="32"/>
          <w:highlight w:val="none"/>
        </w:rPr>
      </w:pPr>
      <w:r>
        <w:rPr>
          <w:rFonts w:hint="eastAsia" w:ascii="仿宋_GB2312" w:hAnsi="仿宋_GB2312" w:eastAsia="仿宋_GB2312" w:cs="仿宋_GB2312"/>
          <w:b/>
          <w:color w:val="393939"/>
          <w:sz w:val="32"/>
          <w:szCs w:val="32"/>
          <w:highlight w:val="none"/>
        </w:rPr>
        <w:t>致：</w:t>
      </w:r>
      <w:r>
        <w:rPr>
          <w:rFonts w:hint="eastAsia" w:ascii="仿宋_GB2312" w:hAnsi="仿宋_GB2312" w:eastAsia="仿宋_GB2312" w:cs="仿宋_GB2312"/>
          <w:b/>
          <w:color w:val="393939"/>
          <w:sz w:val="32"/>
          <w:szCs w:val="32"/>
          <w:highlight w:val="none"/>
          <w:u w:val="single"/>
        </w:rPr>
        <w:t xml:space="preserve">                </w:t>
      </w:r>
      <w:r>
        <w:rPr>
          <w:rFonts w:hint="eastAsia" w:ascii="仿宋_GB2312" w:hAnsi="仿宋_GB2312" w:eastAsia="仿宋_GB2312" w:cs="仿宋_GB2312"/>
          <w:b/>
          <w:color w:val="393939"/>
          <w:sz w:val="32"/>
          <w:szCs w:val="32"/>
          <w:highlight w:val="none"/>
        </w:rPr>
        <w:t>（采购人）</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color w:val="000000"/>
          <w:kern w:val="0"/>
          <w:sz w:val="32"/>
          <w:szCs w:val="32"/>
          <w:highlight w:val="none"/>
          <w:lang w:val="en-US" w:eastAsia="zh-CN" w:bidi="zh-CN"/>
        </w:rPr>
        <w:t>我司承诺：</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color w:val="000000"/>
          <w:kern w:val="0"/>
          <w:sz w:val="32"/>
          <w:szCs w:val="32"/>
          <w:highlight w:val="none"/>
          <w:lang w:val="en-US" w:eastAsia="zh-CN" w:bidi="zh-CN"/>
        </w:rPr>
        <w:t>1.</w:t>
      </w:r>
      <w:r>
        <w:rPr>
          <w:rFonts w:hint="eastAsia" w:ascii="仿宋_GB2312" w:hAnsi="仿宋_GB2312" w:eastAsia="仿宋_GB2312" w:cs="仿宋_GB2312"/>
          <w:color w:val="000000"/>
          <w:kern w:val="0"/>
          <w:sz w:val="32"/>
          <w:szCs w:val="32"/>
          <w:highlight w:val="none"/>
          <w:lang w:val="zh-CN" w:eastAsia="zh-CN" w:bidi="zh-CN"/>
        </w:rPr>
        <w:t>必须在合同签订前为所有投入人员办理个人不少于1</w:t>
      </w:r>
      <w:r>
        <w:rPr>
          <w:rFonts w:hint="eastAsia" w:ascii="仿宋_GB2312" w:hAnsi="仿宋_GB2312" w:eastAsia="仿宋_GB2312" w:cs="仿宋_GB2312"/>
          <w:color w:val="000000"/>
          <w:kern w:val="0"/>
          <w:sz w:val="32"/>
          <w:szCs w:val="32"/>
          <w:highlight w:val="none"/>
          <w:lang w:val="en-US" w:eastAsia="zh-CN" w:bidi="zh-CN"/>
        </w:rPr>
        <w:t>0</w:t>
      </w:r>
      <w:r>
        <w:rPr>
          <w:rFonts w:hint="eastAsia" w:ascii="仿宋_GB2312" w:hAnsi="仿宋_GB2312" w:eastAsia="仿宋_GB2312" w:cs="仿宋_GB2312"/>
          <w:color w:val="000000"/>
          <w:kern w:val="0"/>
          <w:sz w:val="32"/>
          <w:szCs w:val="32"/>
          <w:highlight w:val="none"/>
          <w:lang w:val="zh-CN" w:eastAsia="zh-CN" w:bidi="zh-CN"/>
        </w:rPr>
        <w:t>0万的人身意外保险并复印备案、</w:t>
      </w:r>
      <w:r>
        <w:rPr>
          <w:rFonts w:hint="eastAsia" w:ascii="仿宋_GB2312" w:hAnsi="仿宋_GB2312" w:eastAsia="仿宋_GB2312" w:cs="仿宋_GB2312"/>
          <w:color w:val="000000"/>
          <w:kern w:val="0"/>
          <w:sz w:val="32"/>
          <w:szCs w:val="32"/>
          <w:highlight w:val="none"/>
          <w:lang w:val="en-US" w:eastAsia="zh-CN" w:bidi="zh-CN"/>
        </w:rPr>
        <w:t>提供性能良好的机械设备，安排专业技术能力较强的人员作为现场负责人，组织有经验的、有质量、安全意识的施工人员进场。</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color w:val="000000"/>
          <w:kern w:val="0"/>
          <w:sz w:val="32"/>
          <w:szCs w:val="32"/>
          <w:highlight w:val="none"/>
          <w:lang w:val="en-US" w:eastAsia="zh-CN" w:bidi="zh-CN"/>
        </w:rPr>
        <w:t>2.人员机械设备等进场数量应能满足现场实际施工的需要。</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zh-CN" w:eastAsia="zh-CN" w:bidi="zh-CN"/>
        </w:rPr>
      </w:pPr>
      <w:r>
        <w:rPr>
          <w:rFonts w:hint="eastAsia" w:ascii="仿宋_GB2312" w:hAnsi="仿宋_GB2312" w:eastAsia="仿宋_GB2312" w:cs="仿宋_GB2312"/>
          <w:color w:val="000000"/>
          <w:kern w:val="0"/>
          <w:sz w:val="32"/>
          <w:szCs w:val="32"/>
          <w:highlight w:val="none"/>
          <w:lang w:val="en-US" w:eastAsia="zh-CN" w:bidi="zh-CN"/>
        </w:rPr>
        <w:t>3.</w:t>
      </w:r>
      <w:r>
        <w:rPr>
          <w:rFonts w:hint="eastAsia" w:ascii="仿宋_GB2312" w:hAnsi="仿宋_GB2312" w:eastAsia="仿宋_GB2312" w:cs="仿宋_GB2312"/>
          <w:color w:val="000000"/>
          <w:kern w:val="0"/>
          <w:sz w:val="32"/>
          <w:szCs w:val="32"/>
          <w:highlight w:val="none"/>
          <w:lang w:val="zh-CN" w:eastAsia="zh-CN" w:bidi="zh-CN"/>
        </w:rPr>
        <w:t>自备相关安全设备，包括但不局限于安全帽、反光背心等。</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zh-CN"/>
        </w:rPr>
      </w:pPr>
      <w:r>
        <w:rPr>
          <w:rFonts w:hint="eastAsia" w:ascii="仿宋_GB2312" w:hAnsi="仿宋_GB2312" w:eastAsia="仿宋_GB2312" w:cs="仿宋_GB2312"/>
          <w:color w:val="000000"/>
          <w:kern w:val="0"/>
          <w:sz w:val="32"/>
          <w:szCs w:val="32"/>
          <w:highlight w:val="none"/>
          <w:lang w:val="en-US" w:eastAsia="zh-CN" w:bidi="zh-CN"/>
        </w:rPr>
        <w:t>4.设备进入施工现场后，协作单位驾驶员、技术人员应服从招标人现场管理人员的调度与指挥，并遵守施工现场的规章制度。</w:t>
      </w:r>
    </w:p>
    <w:p>
      <w:pPr>
        <w:keepNext w:val="0"/>
        <w:keepLines w:val="0"/>
        <w:pageBreakBefore w:val="0"/>
        <w:widowControl/>
        <w:shd w:val="clear" w:color="auto" w:fill="FFFFFF"/>
        <w:kinsoku/>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393939"/>
          <w:kern w:val="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zh-CN"/>
        </w:rPr>
        <w:t>5.招标人有权对不符合技术性能要求的设备和人员提出更换。</w:t>
      </w:r>
    </w:p>
    <w:p>
      <w:pPr>
        <w:keepNext w:val="0"/>
        <w:keepLines w:val="0"/>
        <w:pageBreakBefore w:val="0"/>
        <w:kinsoku/>
        <w:overflowPunct/>
        <w:topLinePunct w:val="0"/>
        <w:autoSpaceDE/>
        <w:autoSpaceDN/>
        <w:bidi w:val="0"/>
        <w:adjustRightInd/>
        <w:snapToGrid/>
        <w:spacing w:before="158" w:beforeLines="50" w:after="158" w:afterLines="50" w:line="560" w:lineRule="exact"/>
        <w:jc w:val="center"/>
        <w:textAlignment w:val="auto"/>
        <w:rPr>
          <w:rFonts w:hint="eastAsia" w:ascii="仿宋_GB2312" w:hAnsi="仿宋_GB2312" w:eastAsia="仿宋_GB2312" w:cs="仿宋_GB2312"/>
          <w:b/>
          <w:color w:val="393939"/>
          <w:sz w:val="32"/>
          <w:szCs w:val="32"/>
          <w:highlight w:val="none"/>
        </w:rPr>
      </w:pPr>
    </w:p>
    <w:p>
      <w:pPr>
        <w:keepNext w:val="0"/>
        <w:keepLines w:val="0"/>
        <w:pageBreakBefore w:val="0"/>
        <w:kinsoku/>
        <w:wordWrap w:val="0"/>
        <w:overflowPunct/>
        <w:topLinePunct w:val="0"/>
        <w:autoSpaceDE/>
        <w:autoSpaceDN/>
        <w:bidi w:val="0"/>
        <w:adjustRightInd/>
        <w:snapToGrid/>
        <w:spacing w:before="158" w:beforeLines="50" w:after="158" w:afterLines="50" w:line="560" w:lineRule="exact"/>
        <w:jc w:val="right"/>
        <w:textAlignment w:val="auto"/>
        <w:rPr>
          <w:rFonts w:hint="eastAsia" w:ascii="仿宋_GB2312" w:hAnsi="仿宋_GB2312" w:eastAsia="仿宋_GB2312" w:cs="仿宋_GB2312"/>
          <w:b/>
          <w:color w:val="393939"/>
          <w:sz w:val="32"/>
          <w:szCs w:val="32"/>
          <w:highlight w:val="none"/>
          <w:u w:val="single"/>
        </w:rPr>
      </w:pPr>
      <w:r>
        <w:rPr>
          <w:rFonts w:hint="eastAsia" w:ascii="仿宋_GB2312" w:hAnsi="仿宋_GB2312" w:eastAsia="仿宋_GB2312" w:cs="仿宋_GB2312"/>
          <w:b/>
          <w:color w:val="393939"/>
          <w:sz w:val="32"/>
          <w:szCs w:val="32"/>
          <w:highlight w:val="none"/>
        </w:rPr>
        <w:t>投标人</w:t>
      </w:r>
      <w:r>
        <w:rPr>
          <w:rFonts w:hint="eastAsia" w:ascii="仿宋_GB2312" w:hAnsi="仿宋_GB2312" w:eastAsia="仿宋_GB2312" w:cs="仿宋_GB2312"/>
          <w:b/>
          <w:color w:val="393939"/>
          <w:sz w:val="32"/>
          <w:szCs w:val="32"/>
          <w:highlight w:val="none"/>
          <w:lang w:eastAsia="zh-CN"/>
        </w:rPr>
        <w:t>（</w:t>
      </w:r>
      <w:r>
        <w:rPr>
          <w:rFonts w:hint="eastAsia" w:ascii="仿宋_GB2312" w:hAnsi="仿宋_GB2312" w:eastAsia="仿宋_GB2312" w:cs="仿宋_GB2312"/>
          <w:b/>
          <w:color w:val="393939"/>
          <w:sz w:val="32"/>
          <w:szCs w:val="32"/>
          <w:highlight w:val="none"/>
          <w:lang w:val="en-US" w:eastAsia="zh-CN"/>
        </w:rPr>
        <w:t>盖章</w:t>
      </w:r>
      <w:r>
        <w:rPr>
          <w:rFonts w:hint="eastAsia" w:ascii="仿宋_GB2312" w:hAnsi="仿宋_GB2312" w:eastAsia="仿宋_GB2312" w:cs="仿宋_GB2312"/>
          <w:b/>
          <w:color w:val="393939"/>
          <w:sz w:val="32"/>
          <w:szCs w:val="32"/>
          <w:highlight w:val="none"/>
          <w:lang w:eastAsia="zh-CN"/>
        </w:rPr>
        <w:t>）</w:t>
      </w:r>
      <w:r>
        <w:rPr>
          <w:rFonts w:hint="eastAsia" w:ascii="仿宋_GB2312" w:hAnsi="仿宋_GB2312" w:eastAsia="仿宋_GB2312" w:cs="仿宋_GB2312"/>
          <w:b/>
          <w:color w:val="393939"/>
          <w:sz w:val="32"/>
          <w:szCs w:val="32"/>
          <w:highlight w:val="none"/>
        </w:rPr>
        <w:t xml:space="preserve">：          </w:t>
      </w:r>
    </w:p>
    <w:p>
      <w:pPr>
        <w:keepNext w:val="0"/>
        <w:keepLines w:val="0"/>
        <w:pageBreakBefore w:val="0"/>
        <w:kinsoku/>
        <w:overflowPunct/>
        <w:topLinePunct w:val="0"/>
        <w:autoSpaceDE/>
        <w:autoSpaceDN/>
        <w:bidi w:val="0"/>
        <w:adjustRightInd/>
        <w:snapToGrid/>
        <w:spacing w:before="158" w:beforeLines="50" w:after="158" w:afterLines="50" w:line="560" w:lineRule="exact"/>
        <w:ind w:left="2520" w:firstLine="420"/>
        <w:jc w:val="right"/>
        <w:textAlignment w:val="auto"/>
        <w:rPr>
          <w:rFonts w:eastAsia="仿宋_GB2312"/>
          <w:sz w:val="24"/>
          <w:highlight w:val="none"/>
        </w:rPr>
        <w:sectPr>
          <w:pgSz w:w="11906" w:h="16838"/>
          <w:pgMar w:top="1440" w:right="1417" w:bottom="1440" w:left="1587" w:header="851" w:footer="992" w:gutter="0"/>
          <w:pgBorders>
            <w:top w:val="none" w:sz="0" w:space="0"/>
            <w:left w:val="none" w:sz="0" w:space="0"/>
            <w:bottom w:val="none" w:sz="0" w:space="0"/>
            <w:right w:val="none" w:sz="0" w:space="0"/>
          </w:pgBorders>
          <w:pgNumType w:fmt="decimal"/>
          <w:cols w:space="720" w:num="1"/>
          <w:docGrid w:type="linesAndChars" w:linePitch="317" w:charSpace="204"/>
        </w:sectPr>
      </w:pPr>
      <w:r>
        <w:rPr>
          <w:rFonts w:hint="eastAsia" w:ascii="仿宋_GB2312" w:hAnsi="仿宋_GB2312" w:eastAsia="仿宋_GB2312" w:cs="仿宋_GB2312"/>
          <w:b/>
          <w:color w:val="393939"/>
          <w:sz w:val="32"/>
          <w:szCs w:val="32"/>
          <w:highlight w:val="none"/>
        </w:rPr>
        <w:t xml:space="preserve">日  期：    年    月    </w:t>
      </w:r>
      <w:r>
        <w:rPr>
          <w:rFonts w:hint="eastAsia" w:ascii="仿宋_GB2312" w:hAnsi="仿宋_GB2312" w:eastAsia="仿宋_GB2312" w:cs="仿宋_GB2312"/>
          <w:b/>
          <w:color w:val="393939"/>
          <w:sz w:val="32"/>
          <w:szCs w:val="32"/>
          <w:highlight w:val="none"/>
          <w:lang w:val="en-US" w:eastAsia="zh-CN"/>
        </w:rPr>
        <w:t>日</w:t>
      </w:r>
    </w:p>
    <w:p>
      <w:pPr>
        <w:keepNext w:val="0"/>
        <w:keepLines w:val="0"/>
        <w:pageBreakBefore/>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kern w:val="44"/>
          <w:sz w:val="44"/>
          <w:szCs w:val="44"/>
          <w:highlight w:val="none"/>
        </w:rPr>
      </w:pPr>
      <w:bookmarkStart w:id="450" w:name="_Toc5215"/>
      <w:bookmarkStart w:id="451" w:name="_Toc10848"/>
      <w:bookmarkStart w:id="452" w:name="_Toc6167"/>
      <w:bookmarkStart w:id="453" w:name="_Toc26733"/>
      <w:bookmarkStart w:id="454" w:name="_Toc11413"/>
      <w:bookmarkStart w:id="455" w:name="_Toc2473"/>
      <w:bookmarkStart w:id="456" w:name="_Toc3644"/>
      <w:bookmarkStart w:id="457" w:name="_Toc6028"/>
      <w:bookmarkStart w:id="458" w:name="_Toc596"/>
      <w:bookmarkStart w:id="459" w:name="_Toc24342"/>
      <w:bookmarkStart w:id="460" w:name="_Toc20128"/>
      <w:bookmarkStart w:id="461" w:name="_Toc5232"/>
      <w:bookmarkStart w:id="462" w:name="_Toc968"/>
      <w:r>
        <w:rPr>
          <w:rFonts w:hint="eastAsia" w:ascii="仿宋_GB2312" w:hAnsi="仿宋_GB2312" w:eastAsia="仿宋_GB2312" w:cs="仿宋_GB2312"/>
          <w:b/>
          <w:bCs/>
          <w:kern w:val="44"/>
          <w:sz w:val="44"/>
          <w:szCs w:val="44"/>
          <w:highlight w:val="none"/>
          <w:lang w:val="en-US" w:eastAsia="zh-CN"/>
        </w:rPr>
        <w:t>八</w:t>
      </w:r>
      <w:r>
        <w:rPr>
          <w:rFonts w:hint="eastAsia" w:ascii="仿宋_GB2312" w:hAnsi="仿宋_GB2312" w:eastAsia="仿宋_GB2312" w:cs="仿宋_GB2312"/>
          <w:b/>
          <w:bCs/>
          <w:kern w:val="44"/>
          <w:sz w:val="44"/>
          <w:szCs w:val="44"/>
          <w:highlight w:val="none"/>
        </w:rPr>
        <w:t>、供应商廉政保证书</w:t>
      </w:r>
      <w:bookmarkEnd w:id="450"/>
      <w:bookmarkEnd w:id="451"/>
      <w:bookmarkEnd w:id="452"/>
      <w:bookmarkEnd w:id="453"/>
      <w:bookmarkEnd w:id="454"/>
      <w:bookmarkEnd w:id="455"/>
      <w:bookmarkEnd w:id="456"/>
      <w:bookmarkEnd w:id="457"/>
      <w:bookmarkEnd w:id="458"/>
      <w:bookmarkEnd w:id="459"/>
      <w:bookmarkEnd w:id="460"/>
      <w:bookmarkEnd w:id="461"/>
      <w:bookmarkEnd w:id="462"/>
    </w:p>
    <w:p>
      <w:pPr>
        <w:keepNext w:val="0"/>
        <w:keepLines w:val="0"/>
        <w:kinsoku/>
        <w:overflowPunct/>
        <w:topLinePunct w:val="0"/>
        <w:autoSpaceDE/>
        <w:bidi w:val="0"/>
        <w:spacing w:line="560" w:lineRule="exact"/>
        <w:textAlignment w:val="auto"/>
        <w:rPr>
          <w:rFonts w:hint="eastAsia" w:ascii="宋体" w:hAnsi="宋体"/>
          <w:b/>
          <w:bCs/>
          <w:highlight w:val="none"/>
        </w:rPr>
      </w:pPr>
    </w:p>
    <w:p>
      <w:pPr>
        <w:keepNext w:val="0"/>
        <w:keepLines w:val="0"/>
        <w:kinsoku/>
        <w:overflowPunct/>
        <w:topLinePunct w:val="0"/>
        <w:autoSpaceDE/>
        <w:bidi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福路通资源循环（福建）有限公司</w:t>
      </w:r>
      <w:r>
        <w:rPr>
          <w:rFonts w:hint="eastAsia" w:ascii="仿宋_GB2312" w:hAnsi="仿宋_GB2312" w:eastAsia="仿宋_GB2312" w:cs="仿宋_GB2312"/>
          <w:sz w:val="32"/>
          <w:szCs w:val="32"/>
          <w:highlight w:val="none"/>
        </w:rPr>
        <w:t>：</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为了积极配合贵公司进行</w:t>
      </w:r>
      <w:r>
        <w:rPr>
          <w:rFonts w:hint="eastAsia" w:ascii="仿宋_GB2312" w:hAnsi="仿宋_GB2312" w:eastAsia="仿宋_GB2312" w:cs="仿宋_GB2312"/>
          <w:sz w:val="32"/>
          <w:szCs w:val="32"/>
          <w:highlight w:val="none"/>
          <w:u w:val="single"/>
          <w:lang w:val="en-US" w:eastAsia="zh-CN"/>
        </w:rPr>
        <w:t>旋转桶式活动护栏的拼装及配送劳务服务</w:t>
      </w:r>
      <w:r>
        <w:rPr>
          <w:rFonts w:hint="eastAsia" w:ascii="仿宋_GB2312" w:hAnsi="仿宋_GB2312" w:eastAsia="仿宋_GB2312" w:cs="仿宋_GB2312"/>
          <w:sz w:val="32"/>
          <w:szCs w:val="32"/>
          <w:highlight w:val="none"/>
        </w:rPr>
        <w:t>询价工作，确保此次询价工作的公平、公正、公开，我们保证认真贯彻国家有关廉政和询价报价的有关规定，特向贵公司承诺如下事项：</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1.不以任何方式向采购人和询价</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的任何人赠送礼品、礼金及有价证券；</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2.不宴请采购人的任何人或请采购人的任何人参加高消费的娱乐活动以及旅游、考察、参观等；</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3.不以任何形式报销采购人的任何人以及亲友的各种票据及费用；</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4.不进行可能影响报价公平、公正的任何活动；</w:t>
      </w:r>
    </w:p>
    <w:p>
      <w:pPr>
        <w:keepNext w:val="0"/>
        <w:keepLines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5.如违反上述承诺，愿接受取消报价资格及其他任何形式的处理。</w:t>
      </w:r>
    </w:p>
    <w:p>
      <w:pPr>
        <w:keepNext w:val="0"/>
        <w:keepLines w:val="0"/>
        <w:kinsoku/>
        <w:overflowPunct/>
        <w:topLinePunct w:val="0"/>
        <w:autoSpaceDE/>
        <w:bidi w:val="0"/>
        <w:spacing w:line="560" w:lineRule="exact"/>
        <w:textAlignment w:val="auto"/>
        <w:rPr>
          <w:rFonts w:hint="eastAsia" w:ascii="仿宋_GB2312" w:hAnsi="仿宋_GB2312" w:eastAsia="仿宋_GB2312" w:cs="仿宋_GB2312"/>
          <w:sz w:val="32"/>
          <w:szCs w:val="32"/>
          <w:highlight w:val="none"/>
        </w:rPr>
      </w:pPr>
    </w:p>
    <w:p>
      <w:pPr>
        <w:pStyle w:val="77"/>
        <w:keepNext w:val="0"/>
        <w:keepLines w:val="0"/>
        <w:kinsoku/>
        <w:overflowPunct/>
        <w:topLinePunct w:val="0"/>
        <w:autoSpaceDE/>
        <w:bidi w:val="0"/>
        <w:spacing w:before="0" w:after="0" w:line="560" w:lineRule="exact"/>
        <w:textAlignment w:val="auto"/>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 xml:space="preserve">           </w:t>
      </w:r>
      <w:bookmarkStart w:id="463" w:name="_Toc30489"/>
      <w:r>
        <w:rPr>
          <w:rFonts w:hint="eastAsia" w:ascii="仿宋_GB2312" w:hAnsi="仿宋_GB2312" w:eastAsia="仿宋_GB2312" w:cs="仿宋_GB2312"/>
          <w:szCs w:val="32"/>
          <w:highlight w:val="none"/>
        </w:rPr>
        <w:t>供应商名称（全称并加盖公章）：</w:t>
      </w:r>
      <w:bookmarkEnd w:id="463"/>
      <w:r>
        <w:rPr>
          <w:rFonts w:hint="eastAsia" w:ascii="仿宋_GB2312" w:hAnsi="仿宋_GB2312" w:eastAsia="仿宋_GB2312" w:cs="仿宋_GB2312"/>
          <w:szCs w:val="32"/>
          <w:highlight w:val="none"/>
        </w:rPr>
        <w:t xml:space="preserve"> </w:t>
      </w:r>
    </w:p>
    <w:p>
      <w:pPr>
        <w:pStyle w:val="77"/>
        <w:keepNext w:val="0"/>
        <w:keepLines w:val="0"/>
        <w:kinsoku/>
        <w:overflowPunct/>
        <w:topLinePunct w:val="0"/>
        <w:autoSpaceDE/>
        <w:bidi w:val="0"/>
        <w:spacing w:before="0" w:after="0" w:line="560" w:lineRule="exact"/>
        <w:ind w:left="0" w:firstLine="5120" w:firstLineChars="1600"/>
        <w:jc w:val="both"/>
        <w:textAlignment w:val="auto"/>
        <w:outlineLvl w:val="9"/>
        <w:rPr>
          <w:rFonts w:hint="eastAsia" w:ascii="仿宋_GB2312" w:hAnsi="仿宋_GB2312" w:eastAsia="仿宋_GB2312" w:cs="仿宋_GB2312"/>
          <w:szCs w:val="32"/>
          <w:highlight w:val="none"/>
        </w:rPr>
      </w:pPr>
      <w:bookmarkStart w:id="464" w:name="_Toc20433"/>
      <w:r>
        <w:rPr>
          <w:rFonts w:hint="eastAsia" w:ascii="仿宋_GB2312" w:hAnsi="仿宋_GB2312" w:eastAsia="仿宋_GB2312" w:cs="仿宋_GB2312"/>
          <w:szCs w:val="32"/>
          <w:highlight w:val="none"/>
        </w:rPr>
        <w:t>供应商代表签字：</w:t>
      </w:r>
      <w:bookmarkEnd w:id="464"/>
    </w:p>
    <w:p>
      <w:pPr>
        <w:pStyle w:val="77"/>
        <w:keepNext w:val="0"/>
        <w:keepLines w:val="0"/>
        <w:kinsoku/>
        <w:overflowPunct/>
        <w:topLinePunct w:val="0"/>
        <w:autoSpaceDE/>
        <w:bidi w:val="0"/>
        <w:spacing w:before="0" w:after="0" w:line="560" w:lineRule="exact"/>
        <w:ind w:left="0" w:firstLine="5120" w:firstLineChars="1600"/>
        <w:jc w:val="both"/>
        <w:textAlignment w:val="auto"/>
        <w:outlineLvl w:val="9"/>
        <w:rPr>
          <w:rFonts w:hint="eastAsia" w:ascii="仿宋_GB2312" w:hAnsi="仿宋_GB2312" w:eastAsia="仿宋_GB2312" w:cs="仿宋_GB2312"/>
          <w:szCs w:val="32"/>
          <w:highlight w:val="none"/>
        </w:rPr>
      </w:pPr>
      <w:bookmarkStart w:id="465" w:name="_Toc16002"/>
      <w:r>
        <w:rPr>
          <w:rFonts w:hint="eastAsia" w:ascii="仿宋_GB2312" w:hAnsi="仿宋_GB2312" w:eastAsia="仿宋_GB2312" w:cs="仿宋_GB2312"/>
          <w:szCs w:val="32"/>
          <w:highlight w:val="none"/>
        </w:rPr>
        <w:t>日期：   年   月   日</w:t>
      </w:r>
      <w:bookmarkEnd w:id="465"/>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sectPr>
      <w:pgSz w:w="11906" w:h="16838"/>
      <w:pgMar w:top="1701" w:right="1474" w:bottom="113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56D233-1C68-473B-A2D3-2C93A3F334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B201A92-2F34-4DE7-A1CB-3C41DBBD0281}"/>
  </w:font>
  <w:font w:name="Cambria">
    <w:panose1 w:val="02040503050406030204"/>
    <w:charset w:val="00"/>
    <w:family w:val="roman"/>
    <w:pitch w:val="default"/>
    <w:sig w:usb0="E00006FF" w:usb1="420024FF" w:usb2="02000000" w:usb3="00000000" w:csb0="2000019F" w:csb1="00000000"/>
  </w:font>
  <w:font w:name="方正书宋_GBK">
    <w:altName w:val="微软雅黑"/>
    <w:panose1 w:val="02000000000000000000"/>
    <w:charset w:val="86"/>
    <w:family w:val="auto"/>
    <w:pitch w:val="default"/>
    <w:sig w:usb0="00000000" w:usb1="00000000" w:usb2="00082016" w:usb3="00000000" w:csb0="00040001" w:csb1="00000000"/>
    <w:embedRegular r:id="rId3" w:fontKey="{E4CE5BD5-A9EB-4C90-8566-9FEF97B56543}"/>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swiss"/>
    <w:pitch w:val="default"/>
    <w:sig w:usb0="80000287" w:usb1="2ACF3C50" w:usb2="00000016" w:usb3="00000000" w:csb0="0004001F" w:csb1="00000000"/>
    <w:embedRegular r:id="rId4" w:fontKey="{911961AB-71E9-4230-9870-87F5D46D0835}"/>
  </w:font>
  <w:font w:name="仿宋">
    <w:panose1 w:val="02010609060101010101"/>
    <w:charset w:val="86"/>
    <w:family w:val="auto"/>
    <w:pitch w:val="default"/>
    <w:sig w:usb0="800002BF" w:usb1="38CF7CFA" w:usb2="00000016" w:usb3="00000000" w:csb0="00040001" w:csb1="00000000"/>
    <w:embedRegular r:id="rId5" w:fontKey="{47959115-B492-44EE-8226-33808035A0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BoTQPLAQAAl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ZJnt5DjVmPHvPi8MENuDTzPeBlYj3IYNIX+RCMo7ini7hiiISnR9WqqkoMcYzNDuIXT899&#10;gHgnnCHJaGjA6WVR2fEB4pg6p6Rq1t0qrfMEtSU9ol5V767yi0sI0bXFIonF2G2y4rAbJmo7156Q&#10;WY8r0FCLG0+JvreocNqW2QizsZuMVB78+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aE0DywEAAJcDAAAOAAAAAAAAAAEAIAAAACIBAABkcnMv&#10;ZTJvRG9jLnhtbFBLBQYAAAAABgAGAFkBAABfBQAAAAA=&#10;">
              <v:fill on="f" focussize="0,0"/>
              <v:stroke on="f" weight="1.2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pStyle w:val="7"/>
      <w:lvlText w:val="%1.%2.%3.%4.%5"/>
      <w:lvlJc w:val="left"/>
      <w:pPr>
        <w:tabs>
          <w:tab w:val="left" w:pos="1440"/>
        </w:tabs>
        <w:ind w:left="1008" w:hanging="1008"/>
      </w:pPr>
      <w:rPr>
        <w:rFonts w:hint="eastAsia"/>
      </w:rPr>
    </w:lvl>
    <w:lvl w:ilvl="5" w:tentative="0">
      <w:start w:val="1"/>
      <w:numFmt w:val="decimal"/>
      <w:pStyle w:val="8"/>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ZGY5ZDhlOGQ2MGJmM2UwMjQ3NTdjZjE0YTA5ZjIifQ=="/>
  </w:docVars>
  <w:rsids>
    <w:rsidRoot w:val="00172A27"/>
    <w:rsid w:val="00000A21"/>
    <w:rsid w:val="000014E7"/>
    <w:rsid w:val="00005E43"/>
    <w:rsid w:val="00005FF7"/>
    <w:rsid w:val="0000754C"/>
    <w:rsid w:val="00010E3A"/>
    <w:rsid w:val="000120A7"/>
    <w:rsid w:val="000121AF"/>
    <w:rsid w:val="000147F5"/>
    <w:rsid w:val="00015E2E"/>
    <w:rsid w:val="0001672F"/>
    <w:rsid w:val="00017B7E"/>
    <w:rsid w:val="00021297"/>
    <w:rsid w:val="00025FAA"/>
    <w:rsid w:val="0002621F"/>
    <w:rsid w:val="00030EF4"/>
    <w:rsid w:val="00031E88"/>
    <w:rsid w:val="000342A8"/>
    <w:rsid w:val="000344BA"/>
    <w:rsid w:val="000345DB"/>
    <w:rsid w:val="0003529D"/>
    <w:rsid w:val="00036B7C"/>
    <w:rsid w:val="0003703F"/>
    <w:rsid w:val="000370A4"/>
    <w:rsid w:val="000443A5"/>
    <w:rsid w:val="000462EC"/>
    <w:rsid w:val="00046C4C"/>
    <w:rsid w:val="000522F8"/>
    <w:rsid w:val="000543DB"/>
    <w:rsid w:val="00055B78"/>
    <w:rsid w:val="00061053"/>
    <w:rsid w:val="000624A7"/>
    <w:rsid w:val="00064527"/>
    <w:rsid w:val="00064647"/>
    <w:rsid w:val="000658BC"/>
    <w:rsid w:val="00065EAD"/>
    <w:rsid w:val="000673A5"/>
    <w:rsid w:val="00071E4B"/>
    <w:rsid w:val="0007461E"/>
    <w:rsid w:val="00083DFF"/>
    <w:rsid w:val="00084138"/>
    <w:rsid w:val="00086EEB"/>
    <w:rsid w:val="000936C4"/>
    <w:rsid w:val="00094031"/>
    <w:rsid w:val="00095087"/>
    <w:rsid w:val="00095582"/>
    <w:rsid w:val="000A2284"/>
    <w:rsid w:val="000A2441"/>
    <w:rsid w:val="000A38A9"/>
    <w:rsid w:val="000A456E"/>
    <w:rsid w:val="000A50AE"/>
    <w:rsid w:val="000A51C8"/>
    <w:rsid w:val="000A537A"/>
    <w:rsid w:val="000B4573"/>
    <w:rsid w:val="000B66C7"/>
    <w:rsid w:val="000B7F72"/>
    <w:rsid w:val="000C039F"/>
    <w:rsid w:val="000C3592"/>
    <w:rsid w:val="000C3C22"/>
    <w:rsid w:val="000C766F"/>
    <w:rsid w:val="000D2185"/>
    <w:rsid w:val="000D472B"/>
    <w:rsid w:val="000D67FF"/>
    <w:rsid w:val="000E0CD0"/>
    <w:rsid w:val="000E1D23"/>
    <w:rsid w:val="000E2349"/>
    <w:rsid w:val="000E34DA"/>
    <w:rsid w:val="000E64D5"/>
    <w:rsid w:val="000F3C9C"/>
    <w:rsid w:val="000F3FFF"/>
    <w:rsid w:val="000F5BF9"/>
    <w:rsid w:val="000F60BA"/>
    <w:rsid w:val="000F76D0"/>
    <w:rsid w:val="001028A5"/>
    <w:rsid w:val="001119D3"/>
    <w:rsid w:val="00116A6E"/>
    <w:rsid w:val="00116B88"/>
    <w:rsid w:val="00121392"/>
    <w:rsid w:val="00122B8A"/>
    <w:rsid w:val="001256B9"/>
    <w:rsid w:val="00126F52"/>
    <w:rsid w:val="00130BFD"/>
    <w:rsid w:val="001317D7"/>
    <w:rsid w:val="0013209F"/>
    <w:rsid w:val="00132419"/>
    <w:rsid w:val="001329E6"/>
    <w:rsid w:val="001372C5"/>
    <w:rsid w:val="00137514"/>
    <w:rsid w:val="00140A92"/>
    <w:rsid w:val="00144674"/>
    <w:rsid w:val="0014545A"/>
    <w:rsid w:val="00146B2A"/>
    <w:rsid w:val="00147096"/>
    <w:rsid w:val="00157CDE"/>
    <w:rsid w:val="00163C84"/>
    <w:rsid w:val="00164318"/>
    <w:rsid w:val="001644A9"/>
    <w:rsid w:val="00166A9A"/>
    <w:rsid w:val="00167471"/>
    <w:rsid w:val="00171AC2"/>
    <w:rsid w:val="00172A27"/>
    <w:rsid w:val="0017310B"/>
    <w:rsid w:val="001773F9"/>
    <w:rsid w:val="001808E2"/>
    <w:rsid w:val="001839F4"/>
    <w:rsid w:val="00187E70"/>
    <w:rsid w:val="00192263"/>
    <w:rsid w:val="0019348A"/>
    <w:rsid w:val="00194A15"/>
    <w:rsid w:val="00194B84"/>
    <w:rsid w:val="0019748A"/>
    <w:rsid w:val="001A1919"/>
    <w:rsid w:val="001A228C"/>
    <w:rsid w:val="001A388D"/>
    <w:rsid w:val="001A573C"/>
    <w:rsid w:val="001A6598"/>
    <w:rsid w:val="001A7270"/>
    <w:rsid w:val="001A7548"/>
    <w:rsid w:val="001B182A"/>
    <w:rsid w:val="001B2073"/>
    <w:rsid w:val="001C0626"/>
    <w:rsid w:val="001C152E"/>
    <w:rsid w:val="001C16F8"/>
    <w:rsid w:val="001C1726"/>
    <w:rsid w:val="001D47DC"/>
    <w:rsid w:val="001D5025"/>
    <w:rsid w:val="001D54CE"/>
    <w:rsid w:val="001D6CFC"/>
    <w:rsid w:val="001D751F"/>
    <w:rsid w:val="001D7FA0"/>
    <w:rsid w:val="001E5B23"/>
    <w:rsid w:val="001F01CE"/>
    <w:rsid w:val="001F0F81"/>
    <w:rsid w:val="001F1817"/>
    <w:rsid w:val="001F2385"/>
    <w:rsid w:val="001F2769"/>
    <w:rsid w:val="00201C10"/>
    <w:rsid w:val="00201F4D"/>
    <w:rsid w:val="00202367"/>
    <w:rsid w:val="00203298"/>
    <w:rsid w:val="00204318"/>
    <w:rsid w:val="0020592C"/>
    <w:rsid w:val="002073A1"/>
    <w:rsid w:val="00210F78"/>
    <w:rsid w:val="00211CB8"/>
    <w:rsid w:val="00212D41"/>
    <w:rsid w:val="00215294"/>
    <w:rsid w:val="00215718"/>
    <w:rsid w:val="002162D5"/>
    <w:rsid w:val="0022063A"/>
    <w:rsid w:val="00222801"/>
    <w:rsid w:val="002234B7"/>
    <w:rsid w:val="0022765C"/>
    <w:rsid w:val="00231A17"/>
    <w:rsid w:val="00231EA8"/>
    <w:rsid w:val="0023718D"/>
    <w:rsid w:val="002402A3"/>
    <w:rsid w:val="00245548"/>
    <w:rsid w:val="002462A8"/>
    <w:rsid w:val="002469D5"/>
    <w:rsid w:val="00246C73"/>
    <w:rsid w:val="00252235"/>
    <w:rsid w:val="0025296E"/>
    <w:rsid w:val="002541D1"/>
    <w:rsid w:val="00254791"/>
    <w:rsid w:val="00254818"/>
    <w:rsid w:val="00254A05"/>
    <w:rsid w:val="00255A7C"/>
    <w:rsid w:val="002566AE"/>
    <w:rsid w:val="00260895"/>
    <w:rsid w:val="00262F25"/>
    <w:rsid w:val="00272247"/>
    <w:rsid w:val="0027242C"/>
    <w:rsid w:val="00280D4B"/>
    <w:rsid w:val="0028200E"/>
    <w:rsid w:val="00282DFB"/>
    <w:rsid w:val="00283427"/>
    <w:rsid w:val="00283448"/>
    <w:rsid w:val="00286C09"/>
    <w:rsid w:val="002879F3"/>
    <w:rsid w:val="0029245B"/>
    <w:rsid w:val="00293250"/>
    <w:rsid w:val="00295942"/>
    <w:rsid w:val="002A0963"/>
    <w:rsid w:val="002A19B9"/>
    <w:rsid w:val="002A5803"/>
    <w:rsid w:val="002A76AB"/>
    <w:rsid w:val="002B067C"/>
    <w:rsid w:val="002B3C11"/>
    <w:rsid w:val="002B587B"/>
    <w:rsid w:val="002B58A3"/>
    <w:rsid w:val="002B59D9"/>
    <w:rsid w:val="002B798C"/>
    <w:rsid w:val="002C02BF"/>
    <w:rsid w:val="002C0F47"/>
    <w:rsid w:val="002C1A6A"/>
    <w:rsid w:val="002C5AB4"/>
    <w:rsid w:val="002C60C8"/>
    <w:rsid w:val="002D1B01"/>
    <w:rsid w:val="002D42B3"/>
    <w:rsid w:val="002D4A4E"/>
    <w:rsid w:val="002D5950"/>
    <w:rsid w:val="002E14B6"/>
    <w:rsid w:val="002E5B77"/>
    <w:rsid w:val="002F53F7"/>
    <w:rsid w:val="002F773E"/>
    <w:rsid w:val="002F7A0D"/>
    <w:rsid w:val="002F7FD6"/>
    <w:rsid w:val="00304DA8"/>
    <w:rsid w:val="00305C3A"/>
    <w:rsid w:val="00307653"/>
    <w:rsid w:val="00307B25"/>
    <w:rsid w:val="00314005"/>
    <w:rsid w:val="003146B5"/>
    <w:rsid w:val="0031499F"/>
    <w:rsid w:val="00321581"/>
    <w:rsid w:val="00322764"/>
    <w:rsid w:val="00322ED0"/>
    <w:rsid w:val="00325E4A"/>
    <w:rsid w:val="00326787"/>
    <w:rsid w:val="00333D0F"/>
    <w:rsid w:val="003363FD"/>
    <w:rsid w:val="00337270"/>
    <w:rsid w:val="003447CE"/>
    <w:rsid w:val="00345E79"/>
    <w:rsid w:val="003508B7"/>
    <w:rsid w:val="00352C0A"/>
    <w:rsid w:val="003558D9"/>
    <w:rsid w:val="0035590B"/>
    <w:rsid w:val="00355FEF"/>
    <w:rsid w:val="00357D0B"/>
    <w:rsid w:val="00360F07"/>
    <w:rsid w:val="00361A0E"/>
    <w:rsid w:val="0036317D"/>
    <w:rsid w:val="0036333A"/>
    <w:rsid w:val="00363841"/>
    <w:rsid w:val="003643CF"/>
    <w:rsid w:val="00364D47"/>
    <w:rsid w:val="00371DCD"/>
    <w:rsid w:val="00372068"/>
    <w:rsid w:val="0037405B"/>
    <w:rsid w:val="0039165E"/>
    <w:rsid w:val="00391844"/>
    <w:rsid w:val="0039244C"/>
    <w:rsid w:val="00394C13"/>
    <w:rsid w:val="00395FF0"/>
    <w:rsid w:val="003A0C62"/>
    <w:rsid w:val="003A4F33"/>
    <w:rsid w:val="003A65E4"/>
    <w:rsid w:val="003B049E"/>
    <w:rsid w:val="003B3B9F"/>
    <w:rsid w:val="003B70D7"/>
    <w:rsid w:val="003C01DD"/>
    <w:rsid w:val="003C12DA"/>
    <w:rsid w:val="003C543E"/>
    <w:rsid w:val="003C54A5"/>
    <w:rsid w:val="003C5ADE"/>
    <w:rsid w:val="003C70FE"/>
    <w:rsid w:val="003D0805"/>
    <w:rsid w:val="003D0907"/>
    <w:rsid w:val="003D1EC1"/>
    <w:rsid w:val="003D3D43"/>
    <w:rsid w:val="003D3FB8"/>
    <w:rsid w:val="003D6212"/>
    <w:rsid w:val="003D636D"/>
    <w:rsid w:val="003D651A"/>
    <w:rsid w:val="003E06C0"/>
    <w:rsid w:val="003E35ED"/>
    <w:rsid w:val="003E7337"/>
    <w:rsid w:val="003F2BFD"/>
    <w:rsid w:val="004008BC"/>
    <w:rsid w:val="0040274E"/>
    <w:rsid w:val="00407F21"/>
    <w:rsid w:val="00410084"/>
    <w:rsid w:val="00411004"/>
    <w:rsid w:val="00411F87"/>
    <w:rsid w:val="0041285B"/>
    <w:rsid w:val="00413C7B"/>
    <w:rsid w:val="00414474"/>
    <w:rsid w:val="00415DA2"/>
    <w:rsid w:val="00416443"/>
    <w:rsid w:val="00423E56"/>
    <w:rsid w:val="00424B80"/>
    <w:rsid w:val="00426BBB"/>
    <w:rsid w:val="0042795B"/>
    <w:rsid w:val="00427E30"/>
    <w:rsid w:val="004321D8"/>
    <w:rsid w:val="00432A6A"/>
    <w:rsid w:val="00437B90"/>
    <w:rsid w:val="00444C09"/>
    <w:rsid w:val="004451F8"/>
    <w:rsid w:val="00446A8B"/>
    <w:rsid w:val="004518F3"/>
    <w:rsid w:val="004526E9"/>
    <w:rsid w:val="004569EB"/>
    <w:rsid w:val="004609D1"/>
    <w:rsid w:val="0046163D"/>
    <w:rsid w:val="0046749E"/>
    <w:rsid w:val="004705C8"/>
    <w:rsid w:val="0047148B"/>
    <w:rsid w:val="00471C65"/>
    <w:rsid w:val="00472EC8"/>
    <w:rsid w:val="004737D7"/>
    <w:rsid w:val="00473895"/>
    <w:rsid w:val="00475D9C"/>
    <w:rsid w:val="00480662"/>
    <w:rsid w:val="00480D8B"/>
    <w:rsid w:val="00481406"/>
    <w:rsid w:val="00482745"/>
    <w:rsid w:val="0048466E"/>
    <w:rsid w:val="0048594F"/>
    <w:rsid w:val="00486324"/>
    <w:rsid w:val="00486553"/>
    <w:rsid w:val="004907AC"/>
    <w:rsid w:val="00490D3E"/>
    <w:rsid w:val="00491872"/>
    <w:rsid w:val="004960A6"/>
    <w:rsid w:val="00496A23"/>
    <w:rsid w:val="00496CBB"/>
    <w:rsid w:val="00497A93"/>
    <w:rsid w:val="004A1307"/>
    <w:rsid w:val="004A4727"/>
    <w:rsid w:val="004A6782"/>
    <w:rsid w:val="004B4D9D"/>
    <w:rsid w:val="004B6F9B"/>
    <w:rsid w:val="004B72E3"/>
    <w:rsid w:val="004C1828"/>
    <w:rsid w:val="004C18BA"/>
    <w:rsid w:val="004C3ED4"/>
    <w:rsid w:val="004C56FE"/>
    <w:rsid w:val="004C5A05"/>
    <w:rsid w:val="004C6406"/>
    <w:rsid w:val="004C6A02"/>
    <w:rsid w:val="004D10BE"/>
    <w:rsid w:val="004D1569"/>
    <w:rsid w:val="004D1660"/>
    <w:rsid w:val="004D6A0E"/>
    <w:rsid w:val="004D6F31"/>
    <w:rsid w:val="004D7253"/>
    <w:rsid w:val="004D7EE6"/>
    <w:rsid w:val="004E0F3E"/>
    <w:rsid w:val="004E33A3"/>
    <w:rsid w:val="004E434B"/>
    <w:rsid w:val="004E43CE"/>
    <w:rsid w:val="004E7FEF"/>
    <w:rsid w:val="004F4053"/>
    <w:rsid w:val="004F5F9C"/>
    <w:rsid w:val="00500D3F"/>
    <w:rsid w:val="00501AA3"/>
    <w:rsid w:val="00504AE8"/>
    <w:rsid w:val="00512E0E"/>
    <w:rsid w:val="00513940"/>
    <w:rsid w:val="00515861"/>
    <w:rsid w:val="00515FC8"/>
    <w:rsid w:val="005163B0"/>
    <w:rsid w:val="0051647C"/>
    <w:rsid w:val="0051746C"/>
    <w:rsid w:val="00520C8B"/>
    <w:rsid w:val="005211AF"/>
    <w:rsid w:val="00524200"/>
    <w:rsid w:val="00525F4A"/>
    <w:rsid w:val="005263E7"/>
    <w:rsid w:val="0052658B"/>
    <w:rsid w:val="00526B9A"/>
    <w:rsid w:val="005307F9"/>
    <w:rsid w:val="00530DEB"/>
    <w:rsid w:val="00531C60"/>
    <w:rsid w:val="005324DC"/>
    <w:rsid w:val="00533079"/>
    <w:rsid w:val="0053366D"/>
    <w:rsid w:val="00534F49"/>
    <w:rsid w:val="00540D2E"/>
    <w:rsid w:val="00543541"/>
    <w:rsid w:val="00543CBD"/>
    <w:rsid w:val="005450AB"/>
    <w:rsid w:val="005470BA"/>
    <w:rsid w:val="00554ABF"/>
    <w:rsid w:val="00554C1A"/>
    <w:rsid w:val="005571A3"/>
    <w:rsid w:val="005602CC"/>
    <w:rsid w:val="00561435"/>
    <w:rsid w:val="00564404"/>
    <w:rsid w:val="00565C3B"/>
    <w:rsid w:val="005735DF"/>
    <w:rsid w:val="00574698"/>
    <w:rsid w:val="00575138"/>
    <w:rsid w:val="00580BFE"/>
    <w:rsid w:val="005812D4"/>
    <w:rsid w:val="00581BCB"/>
    <w:rsid w:val="005822FB"/>
    <w:rsid w:val="0058283E"/>
    <w:rsid w:val="00582966"/>
    <w:rsid w:val="00590DCB"/>
    <w:rsid w:val="00591202"/>
    <w:rsid w:val="0059125A"/>
    <w:rsid w:val="00591F12"/>
    <w:rsid w:val="00592E35"/>
    <w:rsid w:val="005932DD"/>
    <w:rsid w:val="005946C6"/>
    <w:rsid w:val="005953B2"/>
    <w:rsid w:val="0059610E"/>
    <w:rsid w:val="005A0266"/>
    <w:rsid w:val="005A0B01"/>
    <w:rsid w:val="005A249B"/>
    <w:rsid w:val="005A26C9"/>
    <w:rsid w:val="005A4580"/>
    <w:rsid w:val="005A51A7"/>
    <w:rsid w:val="005A60B1"/>
    <w:rsid w:val="005A7F40"/>
    <w:rsid w:val="005B02F6"/>
    <w:rsid w:val="005B28F3"/>
    <w:rsid w:val="005B73DA"/>
    <w:rsid w:val="005C3552"/>
    <w:rsid w:val="005C4DAB"/>
    <w:rsid w:val="005C71C2"/>
    <w:rsid w:val="005D3900"/>
    <w:rsid w:val="005D3CD6"/>
    <w:rsid w:val="005D44F5"/>
    <w:rsid w:val="005D4579"/>
    <w:rsid w:val="005D46D8"/>
    <w:rsid w:val="005E0F8E"/>
    <w:rsid w:val="005E2199"/>
    <w:rsid w:val="005E232E"/>
    <w:rsid w:val="005E28BC"/>
    <w:rsid w:val="005E3712"/>
    <w:rsid w:val="005F00BC"/>
    <w:rsid w:val="005F4E58"/>
    <w:rsid w:val="005F5CF8"/>
    <w:rsid w:val="0060364D"/>
    <w:rsid w:val="00605819"/>
    <w:rsid w:val="00605A1C"/>
    <w:rsid w:val="00605B75"/>
    <w:rsid w:val="00605BBB"/>
    <w:rsid w:val="0060725F"/>
    <w:rsid w:val="00611752"/>
    <w:rsid w:val="00611CC3"/>
    <w:rsid w:val="006139D1"/>
    <w:rsid w:val="006146F0"/>
    <w:rsid w:val="006154AA"/>
    <w:rsid w:val="00617493"/>
    <w:rsid w:val="00621300"/>
    <w:rsid w:val="00621FB4"/>
    <w:rsid w:val="00623428"/>
    <w:rsid w:val="006253B4"/>
    <w:rsid w:val="00626C74"/>
    <w:rsid w:val="00630239"/>
    <w:rsid w:val="00632D64"/>
    <w:rsid w:val="0063440E"/>
    <w:rsid w:val="00636E14"/>
    <w:rsid w:val="006460E6"/>
    <w:rsid w:val="00646C63"/>
    <w:rsid w:val="00646FC0"/>
    <w:rsid w:val="006506F8"/>
    <w:rsid w:val="006579F3"/>
    <w:rsid w:val="006610A2"/>
    <w:rsid w:val="00663178"/>
    <w:rsid w:val="00663408"/>
    <w:rsid w:val="00663A3F"/>
    <w:rsid w:val="00664F1D"/>
    <w:rsid w:val="00665824"/>
    <w:rsid w:val="006703F2"/>
    <w:rsid w:val="006760C3"/>
    <w:rsid w:val="006802B8"/>
    <w:rsid w:val="00680E37"/>
    <w:rsid w:val="0068244C"/>
    <w:rsid w:val="0068320F"/>
    <w:rsid w:val="00686DCF"/>
    <w:rsid w:val="00687261"/>
    <w:rsid w:val="00691018"/>
    <w:rsid w:val="006924AD"/>
    <w:rsid w:val="00692C76"/>
    <w:rsid w:val="006932FB"/>
    <w:rsid w:val="0069341C"/>
    <w:rsid w:val="00695ACF"/>
    <w:rsid w:val="006A6B66"/>
    <w:rsid w:val="006A6B91"/>
    <w:rsid w:val="006B2771"/>
    <w:rsid w:val="006B64EA"/>
    <w:rsid w:val="006B6713"/>
    <w:rsid w:val="006B6AE3"/>
    <w:rsid w:val="006B7D3B"/>
    <w:rsid w:val="006B7FF4"/>
    <w:rsid w:val="006C15D5"/>
    <w:rsid w:val="006C23B1"/>
    <w:rsid w:val="006C3C10"/>
    <w:rsid w:val="006C474D"/>
    <w:rsid w:val="006C5332"/>
    <w:rsid w:val="006D088D"/>
    <w:rsid w:val="006D1D18"/>
    <w:rsid w:val="006D2F01"/>
    <w:rsid w:val="006E0B69"/>
    <w:rsid w:val="006E47D4"/>
    <w:rsid w:val="006E71FB"/>
    <w:rsid w:val="006F2CA1"/>
    <w:rsid w:val="006F349E"/>
    <w:rsid w:val="006F3C2D"/>
    <w:rsid w:val="006F7081"/>
    <w:rsid w:val="006F77B4"/>
    <w:rsid w:val="006F7C70"/>
    <w:rsid w:val="00700887"/>
    <w:rsid w:val="00702499"/>
    <w:rsid w:val="00702C08"/>
    <w:rsid w:val="00705BB7"/>
    <w:rsid w:val="007100D4"/>
    <w:rsid w:val="00712A21"/>
    <w:rsid w:val="00716084"/>
    <w:rsid w:val="0071722F"/>
    <w:rsid w:val="00717941"/>
    <w:rsid w:val="007200C5"/>
    <w:rsid w:val="00720A11"/>
    <w:rsid w:val="00721CE0"/>
    <w:rsid w:val="007243F6"/>
    <w:rsid w:val="007247DA"/>
    <w:rsid w:val="00725660"/>
    <w:rsid w:val="00725AB9"/>
    <w:rsid w:val="00726B20"/>
    <w:rsid w:val="00733992"/>
    <w:rsid w:val="007378B1"/>
    <w:rsid w:val="00740B44"/>
    <w:rsid w:val="007433E1"/>
    <w:rsid w:val="00743686"/>
    <w:rsid w:val="007442B2"/>
    <w:rsid w:val="007455AB"/>
    <w:rsid w:val="007469E0"/>
    <w:rsid w:val="00747365"/>
    <w:rsid w:val="00750302"/>
    <w:rsid w:val="00752A35"/>
    <w:rsid w:val="00765AE2"/>
    <w:rsid w:val="007665F0"/>
    <w:rsid w:val="0076774A"/>
    <w:rsid w:val="007730DF"/>
    <w:rsid w:val="007740E2"/>
    <w:rsid w:val="00776153"/>
    <w:rsid w:val="00776ED8"/>
    <w:rsid w:val="00777195"/>
    <w:rsid w:val="007818CB"/>
    <w:rsid w:val="00781C4A"/>
    <w:rsid w:val="00782E5D"/>
    <w:rsid w:val="007841B4"/>
    <w:rsid w:val="00785C88"/>
    <w:rsid w:val="0079067E"/>
    <w:rsid w:val="00791BBE"/>
    <w:rsid w:val="00792521"/>
    <w:rsid w:val="007934E2"/>
    <w:rsid w:val="00795358"/>
    <w:rsid w:val="00795CFB"/>
    <w:rsid w:val="00795EF3"/>
    <w:rsid w:val="007A0882"/>
    <w:rsid w:val="007A3B36"/>
    <w:rsid w:val="007A4AF4"/>
    <w:rsid w:val="007A5250"/>
    <w:rsid w:val="007B2C1D"/>
    <w:rsid w:val="007C0F26"/>
    <w:rsid w:val="007C27AC"/>
    <w:rsid w:val="007C2E0F"/>
    <w:rsid w:val="007C5070"/>
    <w:rsid w:val="007C6935"/>
    <w:rsid w:val="007D4F1E"/>
    <w:rsid w:val="007E0C60"/>
    <w:rsid w:val="007E127B"/>
    <w:rsid w:val="007E1465"/>
    <w:rsid w:val="007E431E"/>
    <w:rsid w:val="007E44E8"/>
    <w:rsid w:val="007F3164"/>
    <w:rsid w:val="007F752C"/>
    <w:rsid w:val="007F7FB7"/>
    <w:rsid w:val="008024E3"/>
    <w:rsid w:val="00802EC5"/>
    <w:rsid w:val="00802F52"/>
    <w:rsid w:val="00804C35"/>
    <w:rsid w:val="0080639A"/>
    <w:rsid w:val="00810CDD"/>
    <w:rsid w:val="00812F2A"/>
    <w:rsid w:val="00814A7B"/>
    <w:rsid w:val="00816F62"/>
    <w:rsid w:val="00820453"/>
    <w:rsid w:val="00822FE7"/>
    <w:rsid w:val="00824A89"/>
    <w:rsid w:val="008271B6"/>
    <w:rsid w:val="008307F6"/>
    <w:rsid w:val="00834260"/>
    <w:rsid w:val="0083697D"/>
    <w:rsid w:val="00836E5B"/>
    <w:rsid w:val="00837F38"/>
    <w:rsid w:val="00842B30"/>
    <w:rsid w:val="008443B2"/>
    <w:rsid w:val="00844972"/>
    <w:rsid w:val="00845D24"/>
    <w:rsid w:val="00846CA4"/>
    <w:rsid w:val="00850649"/>
    <w:rsid w:val="00853936"/>
    <w:rsid w:val="00857960"/>
    <w:rsid w:val="00857A25"/>
    <w:rsid w:val="00857C90"/>
    <w:rsid w:val="008611B6"/>
    <w:rsid w:val="00870E69"/>
    <w:rsid w:val="00871E7D"/>
    <w:rsid w:val="008763AC"/>
    <w:rsid w:val="008764AF"/>
    <w:rsid w:val="0087702C"/>
    <w:rsid w:val="00877413"/>
    <w:rsid w:val="008809D6"/>
    <w:rsid w:val="00882DEF"/>
    <w:rsid w:val="00883625"/>
    <w:rsid w:val="008846CF"/>
    <w:rsid w:val="0088535D"/>
    <w:rsid w:val="008859FB"/>
    <w:rsid w:val="00892370"/>
    <w:rsid w:val="0089783D"/>
    <w:rsid w:val="008A11C4"/>
    <w:rsid w:val="008A2AEA"/>
    <w:rsid w:val="008A2B51"/>
    <w:rsid w:val="008A5260"/>
    <w:rsid w:val="008A760A"/>
    <w:rsid w:val="008A7895"/>
    <w:rsid w:val="008B24A0"/>
    <w:rsid w:val="008B516B"/>
    <w:rsid w:val="008B57A2"/>
    <w:rsid w:val="008B7F38"/>
    <w:rsid w:val="008C0DEC"/>
    <w:rsid w:val="008C2A98"/>
    <w:rsid w:val="008C3EB1"/>
    <w:rsid w:val="008D1DCB"/>
    <w:rsid w:val="008D2B99"/>
    <w:rsid w:val="008D7FA3"/>
    <w:rsid w:val="008E1767"/>
    <w:rsid w:val="008E29B0"/>
    <w:rsid w:val="008E353E"/>
    <w:rsid w:val="008E7ECB"/>
    <w:rsid w:val="008F2134"/>
    <w:rsid w:val="008F5B04"/>
    <w:rsid w:val="008F5B08"/>
    <w:rsid w:val="008F6C9F"/>
    <w:rsid w:val="008F7064"/>
    <w:rsid w:val="008F72E8"/>
    <w:rsid w:val="0090343E"/>
    <w:rsid w:val="00904F72"/>
    <w:rsid w:val="00907D3D"/>
    <w:rsid w:val="00910C93"/>
    <w:rsid w:val="00912A80"/>
    <w:rsid w:val="00920BEC"/>
    <w:rsid w:val="00921B7C"/>
    <w:rsid w:val="00922018"/>
    <w:rsid w:val="00922062"/>
    <w:rsid w:val="009249FC"/>
    <w:rsid w:val="009265FA"/>
    <w:rsid w:val="0092756B"/>
    <w:rsid w:val="00931DD0"/>
    <w:rsid w:val="0093206D"/>
    <w:rsid w:val="00933358"/>
    <w:rsid w:val="0093374C"/>
    <w:rsid w:val="00937E6E"/>
    <w:rsid w:val="009412D3"/>
    <w:rsid w:val="00944A61"/>
    <w:rsid w:val="00946483"/>
    <w:rsid w:val="0096107D"/>
    <w:rsid w:val="00961386"/>
    <w:rsid w:val="00961AB7"/>
    <w:rsid w:val="00962CBC"/>
    <w:rsid w:val="00963952"/>
    <w:rsid w:val="009664F2"/>
    <w:rsid w:val="00967BE5"/>
    <w:rsid w:val="00970BF2"/>
    <w:rsid w:val="009735BD"/>
    <w:rsid w:val="00974146"/>
    <w:rsid w:val="00977301"/>
    <w:rsid w:val="00977375"/>
    <w:rsid w:val="00977C11"/>
    <w:rsid w:val="00987FE9"/>
    <w:rsid w:val="00990086"/>
    <w:rsid w:val="0099026B"/>
    <w:rsid w:val="009902DF"/>
    <w:rsid w:val="009907EF"/>
    <w:rsid w:val="00990C6C"/>
    <w:rsid w:val="0099154D"/>
    <w:rsid w:val="009918BF"/>
    <w:rsid w:val="00992D1B"/>
    <w:rsid w:val="009A0594"/>
    <w:rsid w:val="009A1666"/>
    <w:rsid w:val="009A2B2B"/>
    <w:rsid w:val="009A3C12"/>
    <w:rsid w:val="009A7A6A"/>
    <w:rsid w:val="009B0860"/>
    <w:rsid w:val="009B1188"/>
    <w:rsid w:val="009B2A65"/>
    <w:rsid w:val="009B5D87"/>
    <w:rsid w:val="009C5B3D"/>
    <w:rsid w:val="009C6098"/>
    <w:rsid w:val="009C7EDD"/>
    <w:rsid w:val="009D01E6"/>
    <w:rsid w:val="009D10E8"/>
    <w:rsid w:val="009D39A0"/>
    <w:rsid w:val="009D44E0"/>
    <w:rsid w:val="009D59D8"/>
    <w:rsid w:val="009E61CC"/>
    <w:rsid w:val="009E7A8B"/>
    <w:rsid w:val="009F4DFF"/>
    <w:rsid w:val="009F5156"/>
    <w:rsid w:val="009F75CF"/>
    <w:rsid w:val="009F7A52"/>
    <w:rsid w:val="00A024CF"/>
    <w:rsid w:val="00A02E7A"/>
    <w:rsid w:val="00A13C7C"/>
    <w:rsid w:val="00A13F65"/>
    <w:rsid w:val="00A145DB"/>
    <w:rsid w:val="00A1532A"/>
    <w:rsid w:val="00A15AC8"/>
    <w:rsid w:val="00A202A8"/>
    <w:rsid w:val="00A22CC0"/>
    <w:rsid w:val="00A23DAE"/>
    <w:rsid w:val="00A25212"/>
    <w:rsid w:val="00A304EB"/>
    <w:rsid w:val="00A345A1"/>
    <w:rsid w:val="00A37A06"/>
    <w:rsid w:val="00A42A05"/>
    <w:rsid w:val="00A44709"/>
    <w:rsid w:val="00A455B9"/>
    <w:rsid w:val="00A50D0A"/>
    <w:rsid w:val="00A525C1"/>
    <w:rsid w:val="00A52BBD"/>
    <w:rsid w:val="00A54F41"/>
    <w:rsid w:val="00A5623C"/>
    <w:rsid w:val="00A5625F"/>
    <w:rsid w:val="00A6303E"/>
    <w:rsid w:val="00A64A21"/>
    <w:rsid w:val="00A65558"/>
    <w:rsid w:val="00A66C57"/>
    <w:rsid w:val="00A67420"/>
    <w:rsid w:val="00A6794A"/>
    <w:rsid w:val="00A67A3A"/>
    <w:rsid w:val="00A700CA"/>
    <w:rsid w:val="00A71400"/>
    <w:rsid w:val="00A81C8C"/>
    <w:rsid w:val="00A90E95"/>
    <w:rsid w:val="00A921AB"/>
    <w:rsid w:val="00A92AFB"/>
    <w:rsid w:val="00A945E8"/>
    <w:rsid w:val="00A94633"/>
    <w:rsid w:val="00A96C2B"/>
    <w:rsid w:val="00AA7B53"/>
    <w:rsid w:val="00AB01F2"/>
    <w:rsid w:val="00AB3222"/>
    <w:rsid w:val="00AB49D5"/>
    <w:rsid w:val="00AB5D4B"/>
    <w:rsid w:val="00AB6D22"/>
    <w:rsid w:val="00AC1C06"/>
    <w:rsid w:val="00AD27A2"/>
    <w:rsid w:val="00AD3F63"/>
    <w:rsid w:val="00AE1B1F"/>
    <w:rsid w:val="00AE1DD9"/>
    <w:rsid w:val="00AE3B92"/>
    <w:rsid w:val="00AE6DE2"/>
    <w:rsid w:val="00AE7428"/>
    <w:rsid w:val="00AE7549"/>
    <w:rsid w:val="00AE77D0"/>
    <w:rsid w:val="00AE7F6A"/>
    <w:rsid w:val="00AF492E"/>
    <w:rsid w:val="00AF504D"/>
    <w:rsid w:val="00AF58C4"/>
    <w:rsid w:val="00AF67CC"/>
    <w:rsid w:val="00AF7CFF"/>
    <w:rsid w:val="00B022B0"/>
    <w:rsid w:val="00B04C06"/>
    <w:rsid w:val="00B0506C"/>
    <w:rsid w:val="00B05DB6"/>
    <w:rsid w:val="00B07E39"/>
    <w:rsid w:val="00B12467"/>
    <w:rsid w:val="00B16345"/>
    <w:rsid w:val="00B17590"/>
    <w:rsid w:val="00B17A91"/>
    <w:rsid w:val="00B21DCE"/>
    <w:rsid w:val="00B22A6C"/>
    <w:rsid w:val="00B23A5D"/>
    <w:rsid w:val="00B258D0"/>
    <w:rsid w:val="00B3174A"/>
    <w:rsid w:val="00B36E53"/>
    <w:rsid w:val="00B377F7"/>
    <w:rsid w:val="00B414AD"/>
    <w:rsid w:val="00B42449"/>
    <w:rsid w:val="00B43284"/>
    <w:rsid w:val="00B447EA"/>
    <w:rsid w:val="00B45A0F"/>
    <w:rsid w:val="00B46DEF"/>
    <w:rsid w:val="00B50C44"/>
    <w:rsid w:val="00B5223C"/>
    <w:rsid w:val="00B54311"/>
    <w:rsid w:val="00B662C1"/>
    <w:rsid w:val="00B678FB"/>
    <w:rsid w:val="00B71978"/>
    <w:rsid w:val="00B72B31"/>
    <w:rsid w:val="00B72CCD"/>
    <w:rsid w:val="00B73223"/>
    <w:rsid w:val="00B77FFC"/>
    <w:rsid w:val="00B83203"/>
    <w:rsid w:val="00B9074C"/>
    <w:rsid w:val="00B920D8"/>
    <w:rsid w:val="00B92DEB"/>
    <w:rsid w:val="00B934A4"/>
    <w:rsid w:val="00B94099"/>
    <w:rsid w:val="00B95903"/>
    <w:rsid w:val="00B95C28"/>
    <w:rsid w:val="00B977E3"/>
    <w:rsid w:val="00B97A22"/>
    <w:rsid w:val="00BA6308"/>
    <w:rsid w:val="00BA6930"/>
    <w:rsid w:val="00BB20FD"/>
    <w:rsid w:val="00BB3BFC"/>
    <w:rsid w:val="00BB6E15"/>
    <w:rsid w:val="00BC3A27"/>
    <w:rsid w:val="00BC64BF"/>
    <w:rsid w:val="00BC64F9"/>
    <w:rsid w:val="00BC74EC"/>
    <w:rsid w:val="00BC7FFD"/>
    <w:rsid w:val="00BD04B1"/>
    <w:rsid w:val="00BD2EA3"/>
    <w:rsid w:val="00BD2F3B"/>
    <w:rsid w:val="00BD3BEB"/>
    <w:rsid w:val="00BD4362"/>
    <w:rsid w:val="00BD6972"/>
    <w:rsid w:val="00BD6C5F"/>
    <w:rsid w:val="00BE2513"/>
    <w:rsid w:val="00BE2B59"/>
    <w:rsid w:val="00BE33B2"/>
    <w:rsid w:val="00BE3BB0"/>
    <w:rsid w:val="00BE3CDB"/>
    <w:rsid w:val="00BE7AA4"/>
    <w:rsid w:val="00BF18B9"/>
    <w:rsid w:val="00BF2C0A"/>
    <w:rsid w:val="00BF3015"/>
    <w:rsid w:val="00BF4D14"/>
    <w:rsid w:val="00C00F0D"/>
    <w:rsid w:val="00C03E55"/>
    <w:rsid w:val="00C06687"/>
    <w:rsid w:val="00C070AB"/>
    <w:rsid w:val="00C07385"/>
    <w:rsid w:val="00C079D6"/>
    <w:rsid w:val="00C07D18"/>
    <w:rsid w:val="00C14DE3"/>
    <w:rsid w:val="00C162D8"/>
    <w:rsid w:val="00C20B2A"/>
    <w:rsid w:val="00C21C71"/>
    <w:rsid w:val="00C21EF4"/>
    <w:rsid w:val="00C2355B"/>
    <w:rsid w:val="00C23C60"/>
    <w:rsid w:val="00C34810"/>
    <w:rsid w:val="00C34B95"/>
    <w:rsid w:val="00C40003"/>
    <w:rsid w:val="00C418F2"/>
    <w:rsid w:val="00C41C17"/>
    <w:rsid w:val="00C435C2"/>
    <w:rsid w:val="00C43F16"/>
    <w:rsid w:val="00C4556E"/>
    <w:rsid w:val="00C45E40"/>
    <w:rsid w:val="00C50BB6"/>
    <w:rsid w:val="00C510E8"/>
    <w:rsid w:val="00C52AD0"/>
    <w:rsid w:val="00C52CDD"/>
    <w:rsid w:val="00C533F2"/>
    <w:rsid w:val="00C54BD2"/>
    <w:rsid w:val="00C55A75"/>
    <w:rsid w:val="00C55D20"/>
    <w:rsid w:val="00C615E5"/>
    <w:rsid w:val="00C62D30"/>
    <w:rsid w:val="00C65F26"/>
    <w:rsid w:val="00C67676"/>
    <w:rsid w:val="00C678C6"/>
    <w:rsid w:val="00C70505"/>
    <w:rsid w:val="00C71C02"/>
    <w:rsid w:val="00C72661"/>
    <w:rsid w:val="00C75F13"/>
    <w:rsid w:val="00C807EA"/>
    <w:rsid w:val="00C80929"/>
    <w:rsid w:val="00C80B72"/>
    <w:rsid w:val="00C84806"/>
    <w:rsid w:val="00C85609"/>
    <w:rsid w:val="00C856E8"/>
    <w:rsid w:val="00C869B0"/>
    <w:rsid w:val="00C913FE"/>
    <w:rsid w:val="00C92390"/>
    <w:rsid w:val="00C92B50"/>
    <w:rsid w:val="00C93225"/>
    <w:rsid w:val="00C94A9F"/>
    <w:rsid w:val="00C97FAD"/>
    <w:rsid w:val="00CA0CCA"/>
    <w:rsid w:val="00CA0E49"/>
    <w:rsid w:val="00CA1520"/>
    <w:rsid w:val="00CA2E34"/>
    <w:rsid w:val="00CA508C"/>
    <w:rsid w:val="00CA7BC6"/>
    <w:rsid w:val="00CB14C9"/>
    <w:rsid w:val="00CB2789"/>
    <w:rsid w:val="00CB301F"/>
    <w:rsid w:val="00CB616D"/>
    <w:rsid w:val="00CB671F"/>
    <w:rsid w:val="00CC20C9"/>
    <w:rsid w:val="00CC5BA9"/>
    <w:rsid w:val="00CC7DD2"/>
    <w:rsid w:val="00CD23D4"/>
    <w:rsid w:val="00CD3306"/>
    <w:rsid w:val="00CD380B"/>
    <w:rsid w:val="00CD4751"/>
    <w:rsid w:val="00CD5CCF"/>
    <w:rsid w:val="00CD5FC9"/>
    <w:rsid w:val="00CD780E"/>
    <w:rsid w:val="00CE3027"/>
    <w:rsid w:val="00CE4C24"/>
    <w:rsid w:val="00CE5493"/>
    <w:rsid w:val="00CE54F0"/>
    <w:rsid w:val="00CE75F5"/>
    <w:rsid w:val="00CF06EF"/>
    <w:rsid w:val="00CF0868"/>
    <w:rsid w:val="00CF0A1D"/>
    <w:rsid w:val="00CF3890"/>
    <w:rsid w:val="00CF5287"/>
    <w:rsid w:val="00D0270A"/>
    <w:rsid w:val="00D02A16"/>
    <w:rsid w:val="00D03CA4"/>
    <w:rsid w:val="00D0403D"/>
    <w:rsid w:val="00D05946"/>
    <w:rsid w:val="00D06240"/>
    <w:rsid w:val="00D06C51"/>
    <w:rsid w:val="00D06F48"/>
    <w:rsid w:val="00D141C8"/>
    <w:rsid w:val="00D1457D"/>
    <w:rsid w:val="00D204B1"/>
    <w:rsid w:val="00D20806"/>
    <w:rsid w:val="00D2183E"/>
    <w:rsid w:val="00D222C0"/>
    <w:rsid w:val="00D227EF"/>
    <w:rsid w:val="00D26D31"/>
    <w:rsid w:val="00D319B4"/>
    <w:rsid w:val="00D32364"/>
    <w:rsid w:val="00D33A20"/>
    <w:rsid w:val="00D33D29"/>
    <w:rsid w:val="00D34899"/>
    <w:rsid w:val="00D352D5"/>
    <w:rsid w:val="00D3585B"/>
    <w:rsid w:val="00D3673E"/>
    <w:rsid w:val="00D36AD7"/>
    <w:rsid w:val="00D37960"/>
    <w:rsid w:val="00D41E2D"/>
    <w:rsid w:val="00D44EF4"/>
    <w:rsid w:val="00D5637B"/>
    <w:rsid w:val="00D5795E"/>
    <w:rsid w:val="00D60656"/>
    <w:rsid w:val="00D61220"/>
    <w:rsid w:val="00D61546"/>
    <w:rsid w:val="00D617D4"/>
    <w:rsid w:val="00D623A5"/>
    <w:rsid w:val="00D62C3F"/>
    <w:rsid w:val="00D6700C"/>
    <w:rsid w:val="00D6787A"/>
    <w:rsid w:val="00D73F51"/>
    <w:rsid w:val="00D75157"/>
    <w:rsid w:val="00D75B7F"/>
    <w:rsid w:val="00D76D80"/>
    <w:rsid w:val="00D82062"/>
    <w:rsid w:val="00D8256F"/>
    <w:rsid w:val="00D8261D"/>
    <w:rsid w:val="00D833DA"/>
    <w:rsid w:val="00D84AA8"/>
    <w:rsid w:val="00D85191"/>
    <w:rsid w:val="00D867EA"/>
    <w:rsid w:val="00D90E4F"/>
    <w:rsid w:val="00D91462"/>
    <w:rsid w:val="00D93151"/>
    <w:rsid w:val="00D97BF4"/>
    <w:rsid w:val="00DA1AC4"/>
    <w:rsid w:val="00DA3118"/>
    <w:rsid w:val="00DA4B8A"/>
    <w:rsid w:val="00DA4E12"/>
    <w:rsid w:val="00DA4F5A"/>
    <w:rsid w:val="00DA5823"/>
    <w:rsid w:val="00DA66D5"/>
    <w:rsid w:val="00DB3C4D"/>
    <w:rsid w:val="00DB7079"/>
    <w:rsid w:val="00DB792C"/>
    <w:rsid w:val="00DC06C9"/>
    <w:rsid w:val="00DC4E3E"/>
    <w:rsid w:val="00DC5692"/>
    <w:rsid w:val="00DC6A6D"/>
    <w:rsid w:val="00DC6B23"/>
    <w:rsid w:val="00DD14D0"/>
    <w:rsid w:val="00DD1FD5"/>
    <w:rsid w:val="00DD3309"/>
    <w:rsid w:val="00DD3EAB"/>
    <w:rsid w:val="00DD52E5"/>
    <w:rsid w:val="00DD652E"/>
    <w:rsid w:val="00DD6FAA"/>
    <w:rsid w:val="00DE0A4A"/>
    <w:rsid w:val="00DE143A"/>
    <w:rsid w:val="00DE2AA3"/>
    <w:rsid w:val="00DE41FE"/>
    <w:rsid w:val="00DE4401"/>
    <w:rsid w:val="00DE5718"/>
    <w:rsid w:val="00DF01A0"/>
    <w:rsid w:val="00DF1139"/>
    <w:rsid w:val="00DF3E91"/>
    <w:rsid w:val="00DF6B7C"/>
    <w:rsid w:val="00DF7CCD"/>
    <w:rsid w:val="00E07653"/>
    <w:rsid w:val="00E07A56"/>
    <w:rsid w:val="00E100CF"/>
    <w:rsid w:val="00E10F6E"/>
    <w:rsid w:val="00E15951"/>
    <w:rsid w:val="00E15FBA"/>
    <w:rsid w:val="00E20280"/>
    <w:rsid w:val="00E2211A"/>
    <w:rsid w:val="00E264BD"/>
    <w:rsid w:val="00E26992"/>
    <w:rsid w:val="00E34667"/>
    <w:rsid w:val="00E34DCD"/>
    <w:rsid w:val="00E36BFE"/>
    <w:rsid w:val="00E4063F"/>
    <w:rsid w:val="00E41414"/>
    <w:rsid w:val="00E424A8"/>
    <w:rsid w:val="00E4496A"/>
    <w:rsid w:val="00E45346"/>
    <w:rsid w:val="00E47EEC"/>
    <w:rsid w:val="00E531CC"/>
    <w:rsid w:val="00E53B51"/>
    <w:rsid w:val="00E55C19"/>
    <w:rsid w:val="00E55D5A"/>
    <w:rsid w:val="00E567F9"/>
    <w:rsid w:val="00E60FD9"/>
    <w:rsid w:val="00E611FF"/>
    <w:rsid w:val="00E621DA"/>
    <w:rsid w:val="00E647FD"/>
    <w:rsid w:val="00E64B5F"/>
    <w:rsid w:val="00E655B1"/>
    <w:rsid w:val="00E70E6D"/>
    <w:rsid w:val="00E755C1"/>
    <w:rsid w:val="00E770C7"/>
    <w:rsid w:val="00E83700"/>
    <w:rsid w:val="00E84A66"/>
    <w:rsid w:val="00E8633B"/>
    <w:rsid w:val="00E92F17"/>
    <w:rsid w:val="00E94C6D"/>
    <w:rsid w:val="00E9501F"/>
    <w:rsid w:val="00EA1ABA"/>
    <w:rsid w:val="00EA2387"/>
    <w:rsid w:val="00EA5C84"/>
    <w:rsid w:val="00EA5EDD"/>
    <w:rsid w:val="00EB0A75"/>
    <w:rsid w:val="00EB3F7A"/>
    <w:rsid w:val="00EB54A2"/>
    <w:rsid w:val="00EB6467"/>
    <w:rsid w:val="00EC038E"/>
    <w:rsid w:val="00EC2CEB"/>
    <w:rsid w:val="00EC5EE6"/>
    <w:rsid w:val="00ED136D"/>
    <w:rsid w:val="00ED1D5C"/>
    <w:rsid w:val="00ED3153"/>
    <w:rsid w:val="00ED4A86"/>
    <w:rsid w:val="00ED76E0"/>
    <w:rsid w:val="00EE0235"/>
    <w:rsid w:val="00EE60AB"/>
    <w:rsid w:val="00EE71C3"/>
    <w:rsid w:val="00EF0E3E"/>
    <w:rsid w:val="00EF2CF4"/>
    <w:rsid w:val="00EF428B"/>
    <w:rsid w:val="00EF5ED4"/>
    <w:rsid w:val="00EF6CFA"/>
    <w:rsid w:val="00EF76D1"/>
    <w:rsid w:val="00F00A90"/>
    <w:rsid w:val="00F03239"/>
    <w:rsid w:val="00F050D0"/>
    <w:rsid w:val="00F05AB2"/>
    <w:rsid w:val="00F1007E"/>
    <w:rsid w:val="00F13010"/>
    <w:rsid w:val="00F13B38"/>
    <w:rsid w:val="00F15CD4"/>
    <w:rsid w:val="00F20B0A"/>
    <w:rsid w:val="00F2225B"/>
    <w:rsid w:val="00F271E0"/>
    <w:rsid w:val="00F27405"/>
    <w:rsid w:val="00F278D0"/>
    <w:rsid w:val="00F27ADF"/>
    <w:rsid w:val="00F30F7E"/>
    <w:rsid w:val="00F3378A"/>
    <w:rsid w:val="00F35493"/>
    <w:rsid w:val="00F4046A"/>
    <w:rsid w:val="00F4158B"/>
    <w:rsid w:val="00F41BFD"/>
    <w:rsid w:val="00F42828"/>
    <w:rsid w:val="00F44988"/>
    <w:rsid w:val="00F45751"/>
    <w:rsid w:val="00F471EF"/>
    <w:rsid w:val="00F500FB"/>
    <w:rsid w:val="00F50815"/>
    <w:rsid w:val="00F508CE"/>
    <w:rsid w:val="00F52637"/>
    <w:rsid w:val="00F526C5"/>
    <w:rsid w:val="00F52ADB"/>
    <w:rsid w:val="00F53DB3"/>
    <w:rsid w:val="00F540F2"/>
    <w:rsid w:val="00F568E5"/>
    <w:rsid w:val="00F57161"/>
    <w:rsid w:val="00F61A54"/>
    <w:rsid w:val="00F633FF"/>
    <w:rsid w:val="00F63BC6"/>
    <w:rsid w:val="00F643F9"/>
    <w:rsid w:val="00F646FF"/>
    <w:rsid w:val="00F64D77"/>
    <w:rsid w:val="00F7159E"/>
    <w:rsid w:val="00F767EC"/>
    <w:rsid w:val="00F775CC"/>
    <w:rsid w:val="00F81206"/>
    <w:rsid w:val="00F81A42"/>
    <w:rsid w:val="00F82A4D"/>
    <w:rsid w:val="00F85603"/>
    <w:rsid w:val="00F87957"/>
    <w:rsid w:val="00F941BD"/>
    <w:rsid w:val="00F944C1"/>
    <w:rsid w:val="00F97B5D"/>
    <w:rsid w:val="00F97E7D"/>
    <w:rsid w:val="00FA0228"/>
    <w:rsid w:val="00FA0DB6"/>
    <w:rsid w:val="00FA113F"/>
    <w:rsid w:val="00FA1BBF"/>
    <w:rsid w:val="00FA33DA"/>
    <w:rsid w:val="00FA349F"/>
    <w:rsid w:val="00FB00B6"/>
    <w:rsid w:val="00FB0A6C"/>
    <w:rsid w:val="00FB0AE4"/>
    <w:rsid w:val="00FB20F6"/>
    <w:rsid w:val="00FB4212"/>
    <w:rsid w:val="00FB50FA"/>
    <w:rsid w:val="00FC3050"/>
    <w:rsid w:val="00FC37EA"/>
    <w:rsid w:val="00FC397A"/>
    <w:rsid w:val="00FC3B2D"/>
    <w:rsid w:val="00FC3DA2"/>
    <w:rsid w:val="00FC50A4"/>
    <w:rsid w:val="00FD130D"/>
    <w:rsid w:val="00FD1479"/>
    <w:rsid w:val="00FD45C6"/>
    <w:rsid w:val="00FD6BFB"/>
    <w:rsid w:val="00FD6E1F"/>
    <w:rsid w:val="00FE2242"/>
    <w:rsid w:val="00FE2DD0"/>
    <w:rsid w:val="00FE7D66"/>
    <w:rsid w:val="00FF0E8D"/>
    <w:rsid w:val="00FF109F"/>
    <w:rsid w:val="00FF2805"/>
    <w:rsid w:val="00FF4E21"/>
    <w:rsid w:val="00FF60B0"/>
    <w:rsid w:val="011076DB"/>
    <w:rsid w:val="018A7679"/>
    <w:rsid w:val="0195374C"/>
    <w:rsid w:val="02377C0A"/>
    <w:rsid w:val="02486643"/>
    <w:rsid w:val="024F161E"/>
    <w:rsid w:val="0346086D"/>
    <w:rsid w:val="03AF117E"/>
    <w:rsid w:val="03B40DAE"/>
    <w:rsid w:val="03BB6210"/>
    <w:rsid w:val="03F97CA5"/>
    <w:rsid w:val="040A1CAB"/>
    <w:rsid w:val="04A35D02"/>
    <w:rsid w:val="04D631AD"/>
    <w:rsid w:val="04FB4053"/>
    <w:rsid w:val="05515C0A"/>
    <w:rsid w:val="05613ED6"/>
    <w:rsid w:val="056B5231"/>
    <w:rsid w:val="05B42F17"/>
    <w:rsid w:val="05C72C4A"/>
    <w:rsid w:val="05E74D99"/>
    <w:rsid w:val="05EC5978"/>
    <w:rsid w:val="06013E99"/>
    <w:rsid w:val="062A76DC"/>
    <w:rsid w:val="06477643"/>
    <w:rsid w:val="06736DB3"/>
    <w:rsid w:val="06914EFE"/>
    <w:rsid w:val="06A67635"/>
    <w:rsid w:val="06A962CD"/>
    <w:rsid w:val="06AD24D5"/>
    <w:rsid w:val="06BD35CC"/>
    <w:rsid w:val="06F0378A"/>
    <w:rsid w:val="07117A3E"/>
    <w:rsid w:val="07314C58"/>
    <w:rsid w:val="07554671"/>
    <w:rsid w:val="07705810"/>
    <w:rsid w:val="077223C1"/>
    <w:rsid w:val="07735E64"/>
    <w:rsid w:val="077D1303"/>
    <w:rsid w:val="079F7BAE"/>
    <w:rsid w:val="07D1602E"/>
    <w:rsid w:val="07DA7720"/>
    <w:rsid w:val="086D0CAC"/>
    <w:rsid w:val="089823CA"/>
    <w:rsid w:val="090E6DE2"/>
    <w:rsid w:val="091E3FAF"/>
    <w:rsid w:val="092925A6"/>
    <w:rsid w:val="0937134C"/>
    <w:rsid w:val="094216D1"/>
    <w:rsid w:val="09585E7C"/>
    <w:rsid w:val="09A32550"/>
    <w:rsid w:val="09CD7B8A"/>
    <w:rsid w:val="09D52E1D"/>
    <w:rsid w:val="09FF6A5B"/>
    <w:rsid w:val="0A211992"/>
    <w:rsid w:val="0A4F35C1"/>
    <w:rsid w:val="0A562CBC"/>
    <w:rsid w:val="0A640DAC"/>
    <w:rsid w:val="0A664412"/>
    <w:rsid w:val="0A920902"/>
    <w:rsid w:val="0A9C76A7"/>
    <w:rsid w:val="0AC027B4"/>
    <w:rsid w:val="0AFB78F9"/>
    <w:rsid w:val="0B1B064E"/>
    <w:rsid w:val="0B6F2619"/>
    <w:rsid w:val="0C725662"/>
    <w:rsid w:val="0CBB0AFA"/>
    <w:rsid w:val="0D315E36"/>
    <w:rsid w:val="0DB04F09"/>
    <w:rsid w:val="0E002507"/>
    <w:rsid w:val="0E772D33"/>
    <w:rsid w:val="0EB810AA"/>
    <w:rsid w:val="0ED426D8"/>
    <w:rsid w:val="0EDB0E4E"/>
    <w:rsid w:val="0F021306"/>
    <w:rsid w:val="0F042BC2"/>
    <w:rsid w:val="0F4C6F6C"/>
    <w:rsid w:val="0F5D7C7B"/>
    <w:rsid w:val="0FB21596"/>
    <w:rsid w:val="0FC1532E"/>
    <w:rsid w:val="0FCB1326"/>
    <w:rsid w:val="0FE90477"/>
    <w:rsid w:val="10155044"/>
    <w:rsid w:val="101D336C"/>
    <w:rsid w:val="102B7629"/>
    <w:rsid w:val="1038663B"/>
    <w:rsid w:val="104344BA"/>
    <w:rsid w:val="108E45C0"/>
    <w:rsid w:val="10D7072D"/>
    <w:rsid w:val="10F651FE"/>
    <w:rsid w:val="111B08AD"/>
    <w:rsid w:val="115709B8"/>
    <w:rsid w:val="11B11D4E"/>
    <w:rsid w:val="11CB7D3C"/>
    <w:rsid w:val="120D5E88"/>
    <w:rsid w:val="12E96050"/>
    <w:rsid w:val="13462B78"/>
    <w:rsid w:val="1357401F"/>
    <w:rsid w:val="13C03A2E"/>
    <w:rsid w:val="13C46A1B"/>
    <w:rsid w:val="13D50C28"/>
    <w:rsid w:val="144136AD"/>
    <w:rsid w:val="14540097"/>
    <w:rsid w:val="145B7AAC"/>
    <w:rsid w:val="148E0333"/>
    <w:rsid w:val="14E84D71"/>
    <w:rsid w:val="151439D2"/>
    <w:rsid w:val="15271BA3"/>
    <w:rsid w:val="15820401"/>
    <w:rsid w:val="15F15587"/>
    <w:rsid w:val="15FC2E71"/>
    <w:rsid w:val="16075A6D"/>
    <w:rsid w:val="1625236D"/>
    <w:rsid w:val="163C5DAC"/>
    <w:rsid w:val="16770B92"/>
    <w:rsid w:val="172C455D"/>
    <w:rsid w:val="1752258F"/>
    <w:rsid w:val="177A5946"/>
    <w:rsid w:val="177A7653"/>
    <w:rsid w:val="17B35E0E"/>
    <w:rsid w:val="17CC3AC0"/>
    <w:rsid w:val="18242446"/>
    <w:rsid w:val="185E1BE6"/>
    <w:rsid w:val="1891783B"/>
    <w:rsid w:val="18AB54FE"/>
    <w:rsid w:val="18CE3850"/>
    <w:rsid w:val="18EE55D3"/>
    <w:rsid w:val="194B07E3"/>
    <w:rsid w:val="19511388"/>
    <w:rsid w:val="196F7427"/>
    <w:rsid w:val="197B574B"/>
    <w:rsid w:val="1992068A"/>
    <w:rsid w:val="19B30892"/>
    <w:rsid w:val="19CA4592"/>
    <w:rsid w:val="19DA3568"/>
    <w:rsid w:val="19E0310D"/>
    <w:rsid w:val="19F134A0"/>
    <w:rsid w:val="1A25409E"/>
    <w:rsid w:val="1A2D405C"/>
    <w:rsid w:val="1A4268EB"/>
    <w:rsid w:val="1A725422"/>
    <w:rsid w:val="1A773603"/>
    <w:rsid w:val="1A8A0611"/>
    <w:rsid w:val="1AC61C6C"/>
    <w:rsid w:val="1AE34B69"/>
    <w:rsid w:val="1AFD1961"/>
    <w:rsid w:val="1B212A56"/>
    <w:rsid w:val="1B883200"/>
    <w:rsid w:val="1BB53913"/>
    <w:rsid w:val="1BBD1F95"/>
    <w:rsid w:val="1BC44288"/>
    <w:rsid w:val="1BC6412C"/>
    <w:rsid w:val="1BDE661C"/>
    <w:rsid w:val="1C0E71DD"/>
    <w:rsid w:val="1C2B3CC1"/>
    <w:rsid w:val="1C512503"/>
    <w:rsid w:val="1CA56461"/>
    <w:rsid w:val="1CA85E8E"/>
    <w:rsid w:val="1CAA35A0"/>
    <w:rsid w:val="1CCC4C67"/>
    <w:rsid w:val="1CD47F5D"/>
    <w:rsid w:val="1D2E6E81"/>
    <w:rsid w:val="1D3D5090"/>
    <w:rsid w:val="1D504A6F"/>
    <w:rsid w:val="1D641CE6"/>
    <w:rsid w:val="1D6848BB"/>
    <w:rsid w:val="1DA032FD"/>
    <w:rsid w:val="1DE63D5D"/>
    <w:rsid w:val="1E001ED4"/>
    <w:rsid w:val="1E193D09"/>
    <w:rsid w:val="1E1F3367"/>
    <w:rsid w:val="1E397CCE"/>
    <w:rsid w:val="1E4C1AE7"/>
    <w:rsid w:val="1E6873E0"/>
    <w:rsid w:val="1E75798F"/>
    <w:rsid w:val="1E7D6144"/>
    <w:rsid w:val="1EE05995"/>
    <w:rsid w:val="1F0A0993"/>
    <w:rsid w:val="1F6D571A"/>
    <w:rsid w:val="1F7A079C"/>
    <w:rsid w:val="1FAB2230"/>
    <w:rsid w:val="1FB0626B"/>
    <w:rsid w:val="1FCD50C6"/>
    <w:rsid w:val="20016916"/>
    <w:rsid w:val="204F50A8"/>
    <w:rsid w:val="205519FE"/>
    <w:rsid w:val="20BC336A"/>
    <w:rsid w:val="20C05DFE"/>
    <w:rsid w:val="20D07FE6"/>
    <w:rsid w:val="21207871"/>
    <w:rsid w:val="21423112"/>
    <w:rsid w:val="21780CEC"/>
    <w:rsid w:val="21C320DF"/>
    <w:rsid w:val="21C91A85"/>
    <w:rsid w:val="21CF5B88"/>
    <w:rsid w:val="21D37AE9"/>
    <w:rsid w:val="21DD32C1"/>
    <w:rsid w:val="21DE15EF"/>
    <w:rsid w:val="21EA6E66"/>
    <w:rsid w:val="21EF2963"/>
    <w:rsid w:val="2214777E"/>
    <w:rsid w:val="221B1A48"/>
    <w:rsid w:val="22A054DD"/>
    <w:rsid w:val="22B053ED"/>
    <w:rsid w:val="22C6798B"/>
    <w:rsid w:val="22CB6212"/>
    <w:rsid w:val="22CF2CE6"/>
    <w:rsid w:val="22DC19AD"/>
    <w:rsid w:val="22E617AB"/>
    <w:rsid w:val="22EF05EE"/>
    <w:rsid w:val="23121320"/>
    <w:rsid w:val="23D40584"/>
    <w:rsid w:val="23DA4F0A"/>
    <w:rsid w:val="23DB104A"/>
    <w:rsid w:val="23E629DD"/>
    <w:rsid w:val="244B787A"/>
    <w:rsid w:val="24652E4D"/>
    <w:rsid w:val="247C0975"/>
    <w:rsid w:val="251B731A"/>
    <w:rsid w:val="257626E2"/>
    <w:rsid w:val="25F07F7D"/>
    <w:rsid w:val="25FC68AA"/>
    <w:rsid w:val="26233A75"/>
    <w:rsid w:val="268B25CD"/>
    <w:rsid w:val="26B26374"/>
    <w:rsid w:val="26B74A9C"/>
    <w:rsid w:val="26EF1BA9"/>
    <w:rsid w:val="27233287"/>
    <w:rsid w:val="27315FC2"/>
    <w:rsid w:val="27AE7E51"/>
    <w:rsid w:val="27BA6EF1"/>
    <w:rsid w:val="28076BC0"/>
    <w:rsid w:val="28886A9D"/>
    <w:rsid w:val="28B07116"/>
    <w:rsid w:val="28CA3F98"/>
    <w:rsid w:val="29196D87"/>
    <w:rsid w:val="29214517"/>
    <w:rsid w:val="29332307"/>
    <w:rsid w:val="29585CB3"/>
    <w:rsid w:val="29592D76"/>
    <w:rsid w:val="297B7FE9"/>
    <w:rsid w:val="298962E5"/>
    <w:rsid w:val="29B03871"/>
    <w:rsid w:val="29C06788"/>
    <w:rsid w:val="29FA6504"/>
    <w:rsid w:val="2A77521E"/>
    <w:rsid w:val="2A960606"/>
    <w:rsid w:val="2AF10ABC"/>
    <w:rsid w:val="2B0B166C"/>
    <w:rsid w:val="2B0C0F7B"/>
    <w:rsid w:val="2B3E16BF"/>
    <w:rsid w:val="2BB94533"/>
    <w:rsid w:val="2C2662B9"/>
    <w:rsid w:val="2C440C42"/>
    <w:rsid w:val="2C895E77"/>
    <w:rsid w:val="2CEF46B1"/>
    <w:rsid w:val="2D3C231C"/>
    <w:rsid w:val="2D572256"/>
    <w:rsid w:val="2D7E05F7"/>
    <w:rsid w:val="2D934AE7"/>
    <w:rsid w:val="2DCE4F0C"/>
    <w:rsid w:val="2DDC3FC1"/>
    <w:rsid w:val="2E132846"/>
    <w:rsid w:val="2E182FB4"/>
    <w:rsid w:val="2E851886"/>
    <w:rsid w:val="2F4E0DAB"/>
    <w:rsid w:val="2F852CB6"/>
    <w:rsid w:val="2FAA5AD9"/>
    <w:rsid w:val="2FCE154D"/>
    <w:rsid w:val="2FF039F1"/>
    <w:rsid w:val="300D61A9"/>
    <w:rsid w:val="300D7523"/>
    <w:rsid w:val="30424CC0"/>
    <w:rsid w:val="311968B2"/>
    <w:rsid w:val="311E18DD"/>
    <w:rsid w:val="31FC2745"/>
    <w:rsid w:val="320B412F"/>
    <w:rsid w:val="3271734E"/>
    <w:rsid w:val="32965029"/>
    <w:rsid w:val="32A634AF"/>
    <w:rsid w:val="32B921AD"/>
    <w:rsid w:val="32C4038E"/>
    <w:rsid w:val="32CD2E76"/>
    <w:rsid w:val="330E2506"/>
    <w:rsid w:val="331A5AF6"/>
    <w:rsid w:val="333D61ED"/>
    <w:rsid w:val="33A0531B"/>
    <w:rsid w:val="346C234F"/>
    <w:rsid w:val="34930017"/>
    <w:rsid w:val="34B57BF3"/>
    <w:rsid w:val="34F8315A"/>
    <w:rsid w:val="3539149F"/>
    <w:rsid w:val="354032C5"/>
    <w:rsid w:val="358B61B2"/>
    <w:rsid w:val="35970FD9"/>
    <w:rsid w:val="35A61FCC"/>
    <w:rsid w:val="35B35EF5"/>
    <w:rsid w:val="35D928EB"/>
    <w:rsid w:val="36637EBD"/>
    <w:rsid w:val="36660B35"/>
    <w:rsid w:val="36677056"/>
    <w:rsid w:val="36C57546"/>
    <w:rsid w:val="36D3669F"/>
    <w:rsid w:val="3720230B"/>
    <w:rsid w:val="376244E0"/>
    <w:rsid w:val="376C0295"/>
    <w:rsid w:val="377473AF"/>
    <w:rsid w:val="377D670A"/>
    <w:rsid w:val="37A42CEF"/>
    <w:rsid w:val="37A51FCB"/>
    <w:rsid w:val="37AD13F0"/>
    <w:rsid w:val="37DD6436"/>
    <w:rsid w:val="3819180F"/>
    <w:rsid w:val="383876FC"/>
    <w:rsid w:val="38464F82"/>
    <w:rsid w:val="385376B2"/>
    <w:rsid w:val="38A67777"/>
    <w:rsid w:val="38B505BF"/>
    <w:rsid w:val="38BA021A"/>
    <w:rsid w:val="395D64FD"/>
    <w:rsid w:val="39C842CD"/>
    <w:rsid w:val="39D56FB2"/>
    <w:rsid w:val="3A211B28"/>
    <w:rsid w:val="3A400E87"/>
    <w:rsid w:val="3AB33586"/>
    <w:rsid w:val="3ACB4EAA"/>
    <w:rsid w:val="3AEB1C36"/>
    <w:rsid w:val="3B3945E2"/>
    <w:rsid w:val="3B3E31A9"/>
    <w:rsid w:val="3BA565C9"/>
    <w:rsid w:val="3C214DB9"/>
    <w:rsid w:val="3C286BF8"/>
    <w:rsid w:val="3C7FA554"/>
    <w:rsid w:val="3C9E2B6C"/>
    <w:rsid w:val="3CB13235"/>
    <w:rsid w:val="3CCC5833"/>
    <w:rsid w:val="3CEE30A2"/>
    <w:rsid w:val="3CFB113C"/>
    <w:rsid w:val="3CFD0072"/>
    <w:rsid w:val="3D0A54E4"/>
    <w:rsid w:val="3D12385B"/>
    <w:rsid w:val="3D3C61CF"/>
    <w:rsid w:val="3DA75234"/>
    <w:rsid w:val="3DCE4E55"/>
    <w:rsid w:val="3DF03891"/>
    <w:rsid w:val="3E2C5CAE"/>
    <w:rsid w:val="3E920BF6"/>
    <w:rsid w:val="3EB5793B"/>
    <w:rsid w:val="3EBD6FED"/>
    <w:rsid w:val="3ED424C0"/>
    <w:rsid w:val="3EE549D1"/>
    <w:rsid w:val="3EF24507"/>
    <w:rsid w:val="3EF26819"/>
    <w:rsid w:val="3F032219"/>
    <w:rsid w:val="3F116FE5"/>
    <w:rsid w:val="3F6D7022"/>
    <w:rsid w:val="3F999995"/>
    <w:rsid w:val="40181D19"/>
    <w:rsid w:val="40424744"/>
    <w:rsid w:val="405B1755"/>
    <w:rsid w:val="406A3A67"/>
    <w:rsid w:val="407C0499"/>
    <w:rsid w:val="407C54BA"/>
    <w:rsid w:val="40823610"/>
    <w:rsid w:val="40923879"/>
    <w:rsid w:val="40B0739C"/>
    <w:rsid w:val="40E66D48"/>
    <w:rsid w:val="40E70223"/>
    <w:rsid w:val="411B38EE"/>
    <w:rsid w:val="41234A35"/>
    <w:rsid w:val="41252C1F"/>
    <w:rsid w:val="414832E5"/>
    <w:rsid w:val="41560C26"/>
    <w:rsid w:val="416B6DBE"/>
    <w:rsid w:val="41E9306C"/>
    <w:rsid w:val="421E0B50"/>
    <w:rsid w:val="42A00BEF"/>
    <w:rsid w:val="42C01097"/>
    <w:rsid w:val="42CC0BAF"/>
    <w:rsid w:val="42E26C70"/>
    <w:rsid w:val="42FE0D52"/>
    <w:rsid w:val="432F3AC7"/>
    <w:rsid w:val="43314C51"/>
    <w:rsid w:val="43393571"/>
    <w:rsid w:val="4349799B"/>
    <w:rsid w:val="435D5911"/>
    <w:rsid w:val="43610ED9"/>
    <w:rsid w:val="43837429"/>
    <w:rsid w:val="43865894"/>
    <w:rsid w:val="43A94328"/>
    <w:rsid w:val="43F71F01"/>
    <w:rsid w:val="43FA3A9A"/>
    <w:rsid w:val="440700DA"/>
    <w:rsid w:val="44151381"/>
    <w:rsid w:val="447366E5"/>
    <w:rsid w:val="44AF7F36"/>
    <w:rsid w:val="44BB3AE9"/>
    <w:rsid w:val="44F25238"/>
    <w:rsid w:val="45173EBC"/>
    <w:rsid w:val="455652C2"/>
    <w:rsid w:val="45611A6C"/>
    <w:rsid w:val="45E35183"/>
    <w:rsid w:val="45E66B02"/>
    <w:rsid w:val="45EC5FA1"/>
    <w:rsid w:val="461D3B72"/>
    <w:rsid w:val="46256F3D"/>
    <w:rsid w:val="4687042A"/>
    <w:rsid w:val="46BA7686"/>
    <w:rsid w:val="46C15208"/>
    <w:rsid w:val="46C329DE"/>
    <w:rsid w:val="46D21DA6"/>
    <w:rsid w:val="46D43642"/>
    <w:rsid w:val="47024B89"/>
    <w:rsid w:val="47186D2D"/>
    <w:rsid w:val="475C0019"/>
    <w:rsid w:val="475F6FFF"/>
    <w:rsid w:val="476D72E1"/>
    <w:rsid w:val="47B42327"/>
    <w:rsid w:val="47F030E2"/>
    <w:rsid w:val="481132D5"/>
    <w:rsid w:val="48CC7477"/>
    <w:rsid w:val="490034B4"/>
    <w:rsid w:val="493C15D1"/>
    <w:rsid w:val="494A314E"/>
    <w:rsid w:val="495915E3"/>
    <w:rsid w:val="49B43E29"/>
    <w:rsid w:val="49CA00B7"/>
    <w:rsid w:val="49F23BE3"/>
    <w:rsid w:val="49FB47C4"/>
    <w:rsid w:val="4A4D002A"/>
    <w:rsid w:val="4A5634BA"/>
    <w:rsid w:val="4AF4189F"/>
    <w:rsid w:val="4B095673"/>
    <w:rsid w:val="4B3A4E12"/>
    <w:rsid w:val="4B673FD2"/>
    <w:rsid w:val="4BC35FB7"/>
    <w:rsid w:val="4BD85032"/>
    <w:rsid w:val="4C011FB4"/>
    <w:rsid w:val="4C3214F1"/>
    <w:rsid w:val="4C5778CF"/>
    <w:rsid w:val="4CC457D0"/>
    <w:rsid w:val="4CC615FD"/>
    <w:rsid w:val="4D094D75"/>
    <w:rsid w:val="4D4938D7"/>
    <w:rsid w:val="4D8B67F6"/>
    <w:rsid w:val="4DC311DF"/>
    <w:rsid w:val="4E033EBC"/>
    <w:rsid w:val="4E073C59"/>
    <w:rsid w:val="4E1150AB"/>
    <w:rsid w:val="4E5C0FDD"/>
    <w:rsid w:val="4E844489"/>
    <w:rsid w:val="4E981050"/>
    <w:rsid w:val="4EBF2383"/>
    <w:rsid w:val="4F753207"/>
    <w:rsid w:val="4FA73A2B"/>
    <w:rsid w:val="4FFA401D"/>
    <w:rsid w:val="501E3772"/>
    <w:rsid w:val="50247144"/>
    <w:rsid w:val="502A2248"/>
    <w:rsid w:val="5090127E"/>
    <w:rsid w:val="509F1092"/>
    <w:rsid w:val="50D26870"/>
    <w:rsid w:val="50F87DA8"/>
    <w:rsid w:val="51061FA6"/>
    <w:rsid w:val="51580952"/>
    <w:rsid w:val="51F577C4"/>
    <w:rsid w:val="51FE2935"/>
    <w:rsid w:val="5207218C"/>
    <w:rsid w:val="522B2C66"/>
    <w:rsid w:val="523722E7"/>
    <w:rsid w:val="5308203E"/>
    <w:rsid w:val="534742A2"/>
    <w:rsid w:val="536729D5"/>
    <w:rsid w:val="53A73B70"/>
    <w:rsid w:val="53F51FF0"/>
    <w:rsid w:val="54314539"/>
    <w:rsid w:val="545216AE"/>
    <w:rsid w:val="54752E3E"/>
    <w:rsid w:val="54C77CA4"/>
    <w:rsid w:val="54E1485D"/>
    <w:rsid w:val="54F0443B"/>
    <w:rsid w:val="55105676"/>
    <w:rsid w:val="552A5DC5"/>
    <w:rsid w:val="554F180F"/>
    <w:rsid w:val="56260E7E"/>
    <w:rsid w:val="566864B5"/>
    <w:rsid w:val="56F249AC"/>
    <w:rsid w:val="57281034"/>
    <w:rsid w:val="575936FC"/>
    <w:rsid w:val="576645CF"/>
    <w:rsid w:val="57842062"/>
    <w:rsid w:val="579F56D2"/>
    <w:rsid w:val="57C42F3C"/>
    <w:rsid w:val="57DC5854"/>
    <w:rsid w:val="580D0F91"/>
    <w:rsid w:val="58281E20"/>
    <w:rsid w:val="58527F9B"/>
    <w:rsid w:val="58593DA3"/>
    <w:rsid w:val="58902D3C"/>
    <w:rsid w:val="589726FF"/>
    <w:rsid w:val="58E01645"/>
    <w:rsid w:val="590160ED"/>
    <w:rsid w:val="5978475D"/>
    <w:rsid w:val="599C096B"/>
    <w:rsid w:val="59AD2AEE"/>
    <w:rsid w:val="59AD507E"/>
    <w:rsid w:val="59B2794E"/>
    <w:rsid w:val="59E6075A"/>
    <w:rsid w:val="5A683267"/>
    <w:rsid w:val="5AD057D8"/>
    <w:rsid w:val="5AEB0435"/>
    <w:rsid w:val="5B12588A"/>
    <w:rsid w:val="5BB20DBA"/>
    <w:rsid w:val="5BC51B9B"/>
    <w:rsid w:val="5BD11200"/>
    <w:rsid w:val="5BD75588"/>
    <w:rsid w:val="5BE2711B"/>
    <w:rsid w:val="5C1B195E"/>
    <w:rsid w:val="5C1D29E3"/>
    <w:rsid w:val="5C416C19"/>
    <w:rsid w:val="5C4C4231"/>
    <w:rsid w:val="5C760D5D"/>
    <w:rsid w:val="5CAE582B"/>
    <w:rsid w:val="5CF07506"/>
    <w:rsid w:val="5CFE7C80"/>
    <w:rsid w:val="5E092631"/>
    <w:rsid w:val="5E54291C"/>
    <w:rsid w:val="5E6F680E"/>
    <w:rsid w:val="5EB4384C"/>
    <w:rsid w:val="5EC53236"/>
    <w:rsid w:val="5EE82429"/>
    <w:rsid w:val="5EF72C6B"/>
    <w:rsid w:val="5F1C2C02"/>
    <w:rsid w:val="5F28433E"/>
    <w:rsid w:val="5F2C01BD"/>
    <w:rsid w:val="5F434264"/>
    <w:rsid w:val="5F8529C6"/>
    <w:rsid w:val="5F98501F"/>
    <w:rsid w:val="5F9F7F34"/>
    <w:rsid w:val="5FB77E6B"/>
    <w:rsid w:val="5FBA14AF"/>
    <w:rsid w:val="5FF64C62"/>
    <w:rsid w:val="603040BD"/>
    <w:rsid w:val="60344C7B"/>
    <w:rsid w:val="60544CB9"/>
    <w:rsid w:val="606B08D9"/>
    <w:rsid w:val="60AE780D"/>
    <w:rsid w:val="61333583"/>
    <w:rsid w:val="61A55B6E"/>
    <w:rsid w:val="61CC5A65"/>
    <w:rsid w:val="61CF1286"/>
    <w:rsid w:val="61F63C4B"/>
    <w:rsid w:val="620A5184"/>
    <w:rsid w:val="621A74E5"/>
    <w:rsid w:val="6279080D"/>
    <w:rsid w:val="6283706E"/>
    <w:rsid w:val="631D363E"/>
    <w:rsid w:val="63207313"/>
    <w:rsid w:val="635A2D1A"/>
    <w:rsid w:val="636E5628"/>
    <w:rsid w:val="639F41EB"/>
    <w:rsid w:val="641F4B74"/>
    <w:rsid w:val="648573E2"/>
    <w:rsid w:val="648A6C22"/>
    <w:rsid w:val="64A73D00"/>
    <w:rsid w:val="65062218"/>
    <w:rsid w:val="651950AB"/>
    <w:rsid w:val="653A07B7"/>
    <w:rsid w:val="655B67A0"/>
    <w:rsid w:val="659E36CB"/>
    <w:rsid w:val="66065FEC"/>
    <w:rsid w:val="663F37F3"/>
    <w:rsid w:val="664465A5"/>
    <w:rsid w:val="668E56BC"/>
    <w:rsid w:val="66D80E86"/>
    <w:rsid w:val="67180FA6"/>
    <w:rsid w:val="67427A3E"/>
    <w:rsid w:val="676C0D96"/>
    <w:rsid w:val="679E23D2"/>
    <w:rsid w:val="67EB2288"/>
    <w:rsid w:val="67FD8C13"/>
    <w:rsid w:val="68084924"/>
    <w:rsid w:val="6841395C"/>
    <w:rsid w:val="689627D5"/>
    <w:rsid w:val="68C95513"/>
    <w:rsid w:val="68EF1B5A"/>
    <w:rsid w:val="68F06C38"/>
    <w:rsid w:val="692D1AE1"/>
    <w:rsid w:val="69460D57"/>
    <w:rsid w:val="69652E0C"/>
    <w:rsid w:val="69A118B1"/>
    <w:rsid w:val="69BB5C7C"/>
    <w:rsid w:val="69E1587D"/>
    <w:rsid w:val="69EE459B"/>
    <w:rsid w:val="6A0D3435"/>
    <w:rsid w:val="6A523336"/>
    <w:rsid w:val="6A771191"/>
    <w:rsid w:val="6A9B7231"/>
    <w:rsid w:val="6AD3146B"/>
    <w:rsid w:val="6B3A64D2"/>
    <w:rsid w:val="6B480E0D"/>
    <w:rsid w:val="6B52106A"/>
    <w:rsid w:val="6BD014A7"/>
    <w:rsid w:val="6BD91E7B"/>
    <w:rsid w:val="6C042E79"/>
    <w:rsid w:val="6C4E080C"/>
    <w:rsid w:val="6C7D68DC"/>
    <w:rsid w:val="6CAF0EC7"/>
    <w:rsid w:val="6CB27B7A"/>
    <w:rsid w:val="6D387105"/>
    <w:rsid w:val="6D425CFD"/>
    <w:rsid w:val="6D5B583A"/>
    <w:rsid w:val="6D850165"/>
    <w:rsid w:val="6DA12016"/>
    <w:rsid w:val="6DFC7123"/>
    <w:rsid w:val="6E300925"/>
    <w:rsid w:val="6E6B10E2"/>
    <w:rsid w:val="6E7643C5"/>
    <w:rsid w:val="6E9F563F"/>
    <w:rsid w:val="6EB56801"/>
    <w:rsid w:val="6ECF5745"/>
    <w:rsid w:val="6EDF83C5"/>
    <w:rsid w:val="6F65392A"/>
    <w:rsid w:val="6F657251"/>
    <w:rsid w:val="6F930E05"/>
    <w:rsid w:val="6F962BC7"/>
    <w:rsid w:val="6F971964"/>
    <w:rsid w:val="6FC40FE0"/>
    <w:rsid w:val="6FC771F3"/>
    <w:rsid w:val="6FDF6C6D"/>
    <w:rsid w:val="702C48A1"/>
    <w:rsid w:val="703E6382"/>
    <w:rsid w:val="70E34B2E"/>
    <w:rsid w:val="70E7136B"/>
    <w:rsid w:val="712A2343"/>
    <w:rsid w:val="714056A1"/>
    <w:rsid w:val="717A7AAE"/>
    <w:rsid w:val="71934A3D"/>
    <w:rsid w:val="71B65F0C"/>
    <w:rsid w:val="722C37FD"/>
    <w:rsid w:val="725A6005"/>
    <w:rsid w:val="72763367"/>
    <w:rsid w:val="73136438"/>
    <w:rsid w:val="73360277"/>
    <w:rsid w:val="733B5276"/>
    <w:rsid w:val="738A19C7"/>
    <w:rsid w:val="738C1984"/>
    <w:rsid w:val="73F956C1"/>
    <w:rsid w:val="74180435"/>
    <w:rsid w:val="74321579"/>
    <w:rsid w:val="743C0E2B"/>
    <w:rsid w:val="74665B7D"/>
    <w:rsid w:val="7481636F"/>
    <w:rsid w:val="74A519C0"/>
    <w:rsid w:val="74B16DA1"/>
    <w:rsid w:val="74E15348"/>
    <w:rsid w:val="74F00593"/>
    <w:rsid w:val="752E1B6A"/>
    <w:rsid w:val="75435F27"/>
    <w:rsid w:val="755E6571"/>
    <w:rsid w:val="7599180F"/>
    <w:rsid w:val="75C426E1"/>
    <w:rsid w:val="75CC66A8"/>
    <w:rsid w:val="75EF2CA2"/>
    <w:rsid w:val="75F52144"/>
    <w:rsid w:val="75F78A3A"/>
    <w:rsid w:val="761D1F25"/>
    <w:rsid w:val="765C4E27"/>
    <w:rsid w:val="765F08AA"/>
    <w:rsid w:val="768844FD"/>
    <w:rsid w:val="76941EAC"/>
    <w:rsid w:val="76971C2A"/>
    <w:rsid w:val="769F7605"/>
    <w:rsid w:val="76AA6C3C"/>
    <w:rsid w:val="76CB2972"/>
    <w:rsid w:val="776779D0"/>
    <w:rsid w:val="77D901DF"/>
    <w:rsid w:val="7808174F"/>
    <w:rsid w:val="781858F3"/>
    <w:rsid w:val="78800B64"/>
    <w:rsid w:val="788413D0"/>
    <w:rsid w:val="78EE71BC"/>
    <w:rsid w:val="79624073"/>
    <w:rsid w:val="79635569"/>
    <w:rsid w:val="79737F17"/>
    <w:rsid w:val="79851FAD"/>
    <w:rsid w:val="798F263F"/>
    <w:rsid w:val="79B3683E"/>
    <w:rsid w:val="79CC3EF2"/>
    <w:rsid w:val="7A6D5CF5"/>
    <w:rsid w:val="7A811C8D"/>
    <w:rsid w:val="7A8D5AF2"/>
    <w:rsid w:val="7AD720B3"/>
    <w:rsid w:val="7AF96814"/>
    <w:rsid w:val="7B2B4678"/>
    <w:rsid w:val="7B567CED"/>
    <w:rsid w:val="7B7BE706"/>
    <w:rsid w:val="7B9A137C"/>
    <w:rsid w:val="7C286408"/>
    <w:rsid w:val="7C2D250B"/>
    <w:rsid w:val="7C47CC9D"/>
    <w:rsid w:val="7C6A65E7"/>
    <w:rsid w:val="7C6C4FCB"/>
    <w:rsid w:val="7C7A5350"/>
    <w:rsid w:val="7C7F6D5F"/>
    <w:rsid w:val="7CBFF903"/>
    <w:rsid w:val="7CD074D2"/>
    <w:rsid w:val="7D1A6177"/>
    <w:rsid w:val="7D9D301B"/>
    <w:rsid w:val="7DA63EE4"/>
    <w:rsid w:val="7DC3749B"/>
    <w:rsid w:val="7DC91981"/>
    <w:rsid w:val="7DE73C26"/>
    <w:rsid w:val="7DF83751"/>
    <w:rsid w:val="7DFE5B16"/>
    <w:rsid w:val="7E636123"/>
    <w:rsid w:val="7E7E3402"/>
    <w:rsid w:val="7E824719"/>
    <w:rsid w:val="7EBC1948"/>
    <w:rsid w:val="7EBF7787"/>
    <w:rsid w:val="7ED71FB7"/>
    <w:rsid w:val="7F1F6D83"/>
    <w:rsid w:val="7F2F7A36"/>
    <w:rsid w:val="7F486B03"/>
    <w:rsid w:val="7F71566D"/>
    <w:rsid w:val="7F717642"/>
    <w:rsid w:val="7F79C860"/>
    <w:rsid w:val="7F7EA30F"/>
    <w:rsid w:val="7F87574A"/>
    <w:rsid w:val="7F9FAC33"/>
    <w:rsid w:val="7FBA5A25"/>
    <w:rsid w:val="7FFFE1CB"/>
    <w:rsid w:val="959F4ABC"/>
    <w:rsid w:val="9E7E2A37"/>
    <w:rsid w:val="A6FB3338"/>
    <w:rsid w:val="BAFFCF48"/>
    <w:rsid w:val="DB7492D4"/>
    <w:rsid w:val="DE7E93D2"/>
    <w:rsid w:val="DFDB2900"/>
    <w:rsid w:val="E3EAB6E2"/>
    <w:rsid w:val="E78A1F21"/>
    <w:rsid w:val="EDEF4582"/>
    <w:rsid w:val="EEAB77F6"/>
    <w:rsid w:val="EEBFD29F"/>
    <w:rsid w:val="F1FB05FE"/>
    <w:rsid w:val="F5573E18"/>
    <w:rsid w:val="F6C2C5F7"/>
    <w:rsid w:val="FBCB3478"/>
    <w:rsid w:val="FD4FFD12"/>
    <w:rsid w:val="FDE64E9E"/>
    <w:rsid w:val="FDFFA46C"/>
    <w:rsid w:val="FDFFA556"/>
    <w:rsid w:val="FE5F8777"/>
    <w:rsid w:val="FEBFCA04"/>
    <w:rsid w:val="FFDB7FBE"/>
    <w:rsid w:val="FFDD09A3"/>
    <w:rsid w:val="FFF3FFE4"/>
    <w:rsid w:val="FFFB7462"/>
    <w:rsid w:val="FFFF6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Lines/>
      <w:widowControl/>
      <w:spacing w:before="340" w:after="330" w:line="578" w:lineRule="auto"/>
      <w:jc w:val="center"/>
      <w:outlineLvl w:val="0"/>
    </w:pPr>
    <w:rPr>
      <w:rFonts w:eastAsia="黑体"/>
      <w:kern w:val="44"/>
      <w:sz w:val="32"/>
      <w:szCs w:val="44"/>
    </w:rPr>
  </w:style>
  <w:style w:type="paragraph" w:styleId="4">
    <w:name w:val="heading 2"/>
    <w:basedOn w:val="1"/>
    <w:next w:val="5"/>
    <w:autoRedefine/>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6">
    <w:name w:val="heading 3"/>
    <w:basedOn w:val="1"/>
    <w:next w:val="1"/>
    <w:autoRedefine/>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7">
    <w:name w:val="heading 5"/>
    <w:basedOn w:val="1"/>
    <w:next w:val="1"/>
    <w:autoRedefine/>
    <w:qFormat/>
    <w:uiPriority w:val="0"/>
    <w:pPr>
      <w:widowControl/>
      <w:numPr>
        <w:ilvl w:val="4"/>
        <w:numId w:val="1"/>
      </w:numPr>
      <w:spacing w:before="240" w:after="60"/>
      <w:jc w:val="left"/>
      <w:outlineLvl w:val="4"/>
    </w:pPr>
    <w:rPr>
      <w:rFonts w:ascii="Arial" w:hAnsi="Arial"/>
      <w:b/>
      <w:i/>
      <w:kern w:val="0"/>
      <w:sz w:val="26"/>
    </w:rPr>
  </w:style>
  <w:style w:type="paragraph" w:styleId="8">
    <w:name w:val="heading 6"/>
    <w:basedOn w:val="1"/>
    <w:next w:val="1"/>
    <w:autoRedefine/>
    <w:qFormat/>
    <w:uiPriority w:val="0"/>
    <w:pPr>
      <w:widowControl/>
      <w:numPr>
        <w:ilvl w:val="5"/>
        <w:numId w:val="1"/>
      </w:numPr>
      <w:spacing w:before="240" w:after="60"/>
      <w:jc w:val="left"/>
      <w:outlineLvl w:val="5"/>
    </w:pPr>
    <w:rPr>
      <w:rFonts w:ascii="Arial" w:hAnsi="Arial"/>
      <w:b/>
      <w:kern w:val="0"/>
      <w:sz w:val="24"/>
    </w:rPr>
  </w:style>
  <w:style w:type="paragraph" w:styleId="9">
    <w:name w:val="heading 7"/>
    <w:basedOn w:val="1"/>
    <w:next w:val="1"/>
    <w:autoRedefine/>
    <w:qFormat/>
    <w:uiPriority w:val="0"/>
    <w:pPr>
      <w:keepNext/>
      <w:keepLines/>
      <w:widowControl/>
      <w:spacing w:before="240" w:after="64" w:line="320" w:lineRule="auto"/>
      <w:jc w:val="left"/>
      <w:outlineLvl w:val="6"/>
    </w:pPr>
    <w:rPr>
      <w:b/>
      <w:bCs/>
      <w:kern w:val="0"/>
      <w:sz w:val="24"/>
      <w:szCs w:val="24"/>
    </w:rPr>
  </w:style>
  <w:style w:type="paragraph" w:styleId="10">
    <w:name w:val="heading 8"/>
    <w:basedOn w:val="1"/>
    <w:next w:val="1"/>
    <w:autoRedefine/>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autoRedefine/>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宋体" w:hAnsi="宋体"/>
      <w:sz w:val="24"/>
      <w:szCs w:val="24"/>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12">
    <w:name w:val="Normal Indent"/>
    <w:basedOn w:val="1"/>
    <w:autoRedefine/>
    <w:qFormat/>
    <w:uiPriority w:val="0"/>
    <w:pPr>
      <w:spacing w:line="360" w:lineRule="auto"/>
      <w:ind w:firstLine="420"/>
    </w:pPr>
    <w:rPr>
      <w:sz w:val="24"/>
      <w:szCs w:val="24"/>
    </w:rPr>
  </w:style>
  <w:style w:type="paragraph" w:styleId="13">
    <w:name w:val="annotation text"/>
    <w:basedOn w:val="1"/>
    <w:autoRedefine/>
    <w:qFormat/>
    <w:uiPriority w:val="0"/>
    <w:pPr>
      <w:adjustRightInd w:val="0"/>
      <w:spacing w:line="360" w:lineRule="atLeast"/>
      <w:jc w:val="left"/>
      <w:textAlignment w:val="baseline"/>
    </w:pPr>
    <w:rPr>
      <w:kern w:val="0"/>
      <w:sz w:val="24"/>
    </w:rPr>
  </w:style>
  <w:style w:type="paragraph" w:styleId="14">
    <w:name w:val="Body Text Indent"/>
    <w:basedOn w:val="1"/>
    <w:autoRedefine/>
    <w:qFormat/>
    <w:uiPriority w:val="0"/>
    <w:pPr>
      <w:ind w:firstLine="560" w:firstLineChars="200"/>
    </w:pPr>
    <w:rPr>
      <w:rFonts w:ascii="宋体" w:hAnsi="宋体"/>
      <w:sz w:val="28"/>
      <w:szCs w:val="24"/>
    </w:rPr>
  </w:style>
  <w:style w:type="paragraph" w:styleId="15">
    <w:name w:val="Plain Text"/>
    <w:basedOn w:val="1"/>
    <w:link w:val="91"/>
    <w:autoRedefine/>
    <w:qFormat/>
    <w:uiPriority w:val="0"/>
    <w:rPr>
      <w:rFonts w:ascii="宋体" w:hAnsi="Courier New"/>
      <w:szCs w:val="24"/>
    </w:rPr>
  </w:style>
  <w:style w:type="paragraph" w:styleId="16">
    <w:name w:val="Date"/>
    <w:basedOn w:val="1"/>
    <w:next w:val="1"/>
    <w:autoRedefine/>
    <w:qFormat/>
    <w:uiPriority w:val="0"/>
    <w:pPr>
      <w:ind w:left="100" w:leftChars="2500"/>
    </w:pPr>
    <w:rPr>
      <w:rFonts w:ascii="宋体" w:hAnsi="宋体"/>
      <w:sz w:val="28"/>
      <w:szCs w:val="24"/>
    </w:rPr>
  </w:style>
  <w:style w:type="paragraph" w:styleId="17">
    <w:name w:val="Body Text Indent 2"/>
    <w:basedOn w:val="1"/>
    <w:autoRedefine/>
    <w:qFormat/>
    <w:uiPriority w:val="0"/>
    <w:pPr>
      <w:ind w:left="360"/>
    </w:pPr>
    <w:rPr>
      <w:sz w:val="24"/>
      <w:szCs w:val="24"/>
    </w:rPr>
  </w:style>
  <w:style w:type="paragraph" w:styleId="18">
    <w:name w:val="Balloon Text"/>
    <w:basedOn w:val="1"/>
    <w:link w:val="90"/>
    <w:autoRedefine/>
    <w:semiHidden/>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autoRedefine/>
    <w:qFormat/>
    <w:uiPriority w:val="0"/>
    <w:pPr>
      <w:tabs>
        <w:tab w:val="right" w:leader="dot" w:pos="8505"/>
      </w:tabs>
      <w:spacing w:line="500" w:lineRule="exact"/>
    </w:pPr>
    <w:rPr>
      <w:rFonts w:ascii="宋体" w:hAnsi="宋体" w:eastAsia="仿宋_GB2312"/>
      <w:b/>
      <w:sz w:val="24"/>
      <w:szCs w:val="24"/>
    </w:rPr>
  </w:style>
  <w:style w:type="paragraph" w:styleId="22">
    <w:name w:val="index heading"/>
    <w:basedOn w:val="1"/>
    <w:next w:val="23"/>
    <w:qFormat/>
    <w:uiPriority w:val="0"/>
    <w:pPr>
      <w:adjustRightInd/>
      <w:spacing w:line="240" w:lineRule="auto"/>
      <w:textAlignment w:val="auto"/>
    </w:pPr>
    <w:rPr>
      <w:kern w:val="2"/>
      <w:szCs w:val="21"/>
    </w:rPr>
  </w:style>
  <w:style w:type="paragraph" w:styleId="23">
    <w:name w:val="index 1"/>
    <w:basedOn w:val="1"/>
    <w:next w:val="1"/>
    <w:qFormat/>
    <w:uiPriority w:val="0"/>
  </w:style>
  <w:style w:type="paragraph" w:styleId="24">
    <w:name w:val="Body Text Indent 3"/>
    <w:basedOn w:val="1"/>
    <w:autoRedefine/>
    <w:qFormat/>
    <w:uiPriority w:val="0"/>
    <w:pPr>
      <w:keepLines/>
      <w:widowControl/>
      <w:tabs>
        <w:tab w:val="left" w:pos="1004"/>
      </w:tabs>
      <w:spacing w:line="360" w:lineRule="auto"/>
      <w:ind w:left="1079" w:leftChars="514"/>
    </w:pPr>
    <w:rPr>
      <w:rFonts w:ascii="宋体" w:hAnsi="宋体"/>
      <w:bCs/>
      <w:szCs w:val="24"/>
    </w:rPr>
  </w:style>
  <w:style w:type="paragraph" w:styleId="25">
    <w:name w:val="toc 2"/>
    <w:basedOn w:val="1"/>
    <w:next w:val="1"/>
    <w:autoRedefine/>
    <w:semiHidden/>
    <w:qFormat/>
    <w:uiPriority w:val="0"/>
    <w:pPr>
      <w:ind w:left="420" w:leftChars="200"/>
    </w:pPr>
  </w:style>
  <w:style w:type="paragraph" w:styleId="26">
    <w:name w:val="Body Text 2"/>
    <w:basedOn w:val="1"/>
    <w:autoRedefine/>
    <w:qFormat/>
    <w:uiPriority w:val="0"/>
    <w:rPr>
      <w:rFonts w:ascii="宋体" w:hAnsi="宋体"/>
      <w:sz w:val="28"/>
      <w:szCs w:val="24"/>
    </w:rPr>
  </w:style>
  <w:style w:type="paragraph" w:styleId="27">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28">
    <w:name w:val="Title"/>
    <w:basedOn w:val="1"/>
    <w:link w:val="88"/>
    <w:autoRedefine/>
    <w:qFormat/>
    <w:uiPriority w:val="0"/>
    <w:pPr>
      <w:jc w:val="center"/>
    </w:pPr>
    <w:rPr>
      <w:rFonts w:ascii="Cambria" w:hAnsi="Cambria"/>
      <w:b/>
      <w:bCs/>
      <w:sz w:val="32"/>
      <w:szCs w:val="32"/>
    </w:rPr>
  </w:style>
  <w:style w:type="paragraph" w:styleId="29">
    <w:name w:val="Body Text First Indent 2"/>
    <w:basedOn w:val="14"/>
    <w:next w:val="30"/>
    <w:autoRedefine/>
    <w:qFormat/>
    <w:uiPriority w:val="0"/>
    <w:pPr>
      <w:spacing w:after="120"/>
      <w:ind w:left="420" w:leftChars="200" w:firstLine="420"/>
    </w:pPr>
    <w:rPr>
      <w:rFonts w:ascii="仿宋_GB2312" w:hAnsi="Times New Roman" w:eastAsia="仿宋_GB2312"/>
      <w:sz w:val="32"/>
      <w:szCs w:val="32"/>
    </w:rPr>
  </w:style>
  <w:style w:type="paragraph" w:customStyle="1" w:styleId="30">
    <w:name w:val="*正文"/>
    <w:basedOn w:val="1"/>
    <w:autoRedefine/>
    <w:qFormat/>
    <w:uiPriority w:val="0"/>
    <w:pPr>
      <w:spacing w:line="360" w:lineRule="auto"/>
      <w:ind w:firstLine="480"/>
    </w:pPr>
    <w:rPr>
      <w:rFonts w:hAnsi="宋体" w:cs="仿宋_GB2312"/>
      <w:color w:val="000000"/>
      <w:sz w:val="24"/>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paragraph" w:customStyle="1" w:styleId="38">
    <w:name w:val="正文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5"/>
    <w:basedOn w:val="1"/>
    <w:autoRedefine/>
    <w:qFormat/>
    <w:uiPriority w:val="0"/>
    <w:rPr>
      <w:szCs w:val="24"/>
    </w:rPr>
  </w:style>
  <w:style w:type="paragraph" w:customStyle="1" w:styleId="40">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页眉 New New"/>
    <w:basedOn w:val="42"/>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2">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页眉 New New New New New"/>
    <w:basedOn w:val="4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眉 New New New New New New New"/>
    <w:basedOn w:val="46"/>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6">
    <w:name w:val="正文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页脚 New New New New New New New New New New"/>
    <w:basedOn w:val="48"/>
    <w:autoRedefine/>
    <w:qFormat/>
    <w:uiPriority w:val="0"/>
    <w:pPr>
      <w:tabs>
        <w:tab w:val="center" w:pos="4153"/>
        <w:tab w:val="right" w:pos="8306"/>
      </w:tabs>
      <w:snapToGrid w:val="0"/>
      <w:jc w:val="left"/>
    </w:pPr>
    <w:rPr>
      <w:sz w:val="18"/>
    </w:rPr>
  </w:style>
  <w:style w:type="paragraph" w:customStyle="1" w:styleId="48">
    <w:name w:val="正文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普通(网站) New"/>
    <w:basedOn w:val="5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50">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New New New New New"/>
    <w:basedOn w:val="46"/>
    <w:autoRedefine/>
    <w:qFormat/>
    <w:uiPriority w:val="0"/>
    <w:pPr>
      <w:tabs>
        <w:tab w:val="center" w:pos="4153"/>
        <w:tab w:val="right" w:pos="8306"/>
      </w:tabs>
      <w:snapToGrid w:val="0"/>
      <w:jc w:val="left"/>
    </w:pPr>
    <w:rPr>
      <w:sz w:val="18"/>
    </w:rPr>
  </w:style>
  <w:style w:type="paragraph" w:customStyle="1" w:styleId="52">
    <w:name w:val="页脚 New New New"/>
    <w:basedOn w:val="53"/>
    <w:autoRedefine/>
    <w:qFormat/>
    <w:uiPriority w:val="0"/>
    <w:pPr>
      <w:tabs>
        <w:tab w:val="center" w:pos="4153"/>
        <w:tab w:val="right" w:pos="8306"/>
      </w:tabs>
      <w:snapToGrid w:val="0"/>
      <w:jc w:val="left"/>
    </w:pPr>
    <w:rPr>
      <w:sz w:val="18"/>
    </w:rPr>
  </w:style>
  <w:style w:type="paragraph" w:customStyle="1" w:styleId="53">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样式 标题 3 + (中文) 黑体 小四 非加粗 段前: 7.8 磅 段后: 0 磅 行距: 固定值 20 磅"/>
    <w:basedOn w:val="6"/>
    <w:autoRedefine/>
    <w:qFormat/>
    <w:uiPriority w:val="0"/>
    <w:pPr>
      <w:spacing w:before="0" w:after="0" w:line="400" w:lineRule="exact"/>
    </w:pPr>
    <w:rPr>
      <w:rFonts w:cs="宋体"/>
      <w:b/>
      <w:bCs/>
      <w:szCs w:val="20"/>
    </w:rPr>
  </w:style>
  <w:style w:type="paragraph" w:customStyle="1" w:styleId="56">
    <w:name w:val="_Style 8"/>
    <w:basedOn w:val="1"/>
    <w:next w:val="24"/>
    <w:autoRedefine/>
    <w:qFormat/>
    <w:uiPriority w:val="0"/>
    <w:pPr>
      <w:spacing w:line="360" w:lineRule="auto"/>
      <w:ind w:firstLine="632"/>
    </w:pPr>
    <w:rPr>
      <w:rFonts w:ascii="黑体" w:eastAsia="黑体"/>
      <w:sz w:val="28"/>
    </w:rPr>
  </w:style>
  <w:style w:type="paragraph" w:customStyle="1" w:styleId="57">
    <w:name w:val="正文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脚 New New New New New New New New New"/>
    <w:basedOn w:val="59"/>
    <w:autoRedefine/>
    <w:qFormat/>
    <w:uiPriority w:val="0"/>
    <w:pPr>
      <w:tabs>
        <w:tab w:val="center" w:pos="4153"/>
        <w:tab w:val="right" w:pos="8306"/>
      </w:tabs>
      <w:snapToGrid w:val="0"/>
      <w:jc w:val="left"/>
    </w:pPr>
    <w:rPr>
      <w:sz w:val="18"/>
    </w:rPr>
  </w:style>
  <w:style w:type="paragraph" w:customStyle="1" w:styleId="59">
    <w:name w:val="正文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页眉 New"/>
    <w:basedOn w:val="6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普通(网站) New New"/>
    <w:basedOn w:val="40"/>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63">
    <w:name w:val="页眉 New New New New New New New New"/>
    <w:basedOn w:val="57"/>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页脚 New New New New New New New New"/>
    <w:basedOn w:val="57"/>
    <w:autoRedefine/>
    <w:qFormat/>
    <w:uiPriority w:val="0"/>
    <w:pPr>
      <w:tabs>
        <w:tab w:val="center" w:pos="4153"/>
        <w:tab w:val="right" w:pos="8306"/>
      </w:tabs>
      <w:snapToGrid w:val="0"/>
      <w:jc w:val="left"/>
    </w:pPr>
    <w:rPr>
      <w:sz w:val="18"/>
    </w:rPr>
  </w:style>
  <w:style w:type="paragraph" w:customStyle="1" w:styleId="65">
    <w:name w:val="页眉 New New New New New New New New New New"/>
    <w:basedOn w:val="48"/>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6">
    <w:name w:val="页眉 New New New New New New New New New"/>
    <w:basedOn w:val="59"/>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reader-word-layer reader-word-s1-1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正文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页脚 New New"/>
    <w:basedOn w:val="42"/>
    <w:autoRedefine/>
    <w:qFormat/>
    <w:uiPriority w:val="0"/>
    <w:pPr>
      <w:tabs>
        <w:tab w:val="center" w:pos="4153"/>
        <w:tab w:val="right" w:pos="8306"/>
      </w:tabs>
      <w:snapToGrid w:val="0"/>
      <w:jc w:val="left"/>
    </w:pPr>
    <w:rPr>
      <w:sz w:val="18"/>
    </w:rPr>
  </w:style>
  <w:style w:type="paragraph" w:customStyle="1" w:styleId="70">
    <w:name w:val="正文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Char"/>
    <w:basedOn w:val="1"/>
    <w:autoRedefine/>
    <w:qFormat/>
    <w:uiPriority w:val="0"/>
    <w:rPr>
      <w:rFonts w:ascii="宋体"/>
      <w:kern w:val="0"/>
      <w:sz w:val="24"/>
      <w:szCs w:val="24"/>
    </w:rPr>
  </w:style>
  <w:style w:type="paragraph" w:customStyle="1" w:styleId="72">
    <w:name w:val="标题 1 New"/>
    <w:basedOn w:val="60"/>
    <w:next w:val="60"/>
    <w:autoRedefine/>
    <w:qFormat/>
    <w:uiPriority w:val="0"/>
    <w:pPr>
      <w:keepNext/>
      <w:keepLines/>
      <w:spacing w:before="340" w:after="330" w:line="576" w:lineRule="auto"/>
      <w:outlineLvl w:val="0"/>
    </w:pPr>
    <w:rPr>
      <w:b/>
      <w:kern w:val="44"/>
      <w:sz w:val="44"/>
    </w:rPr>
  </w:style>
  <w:style w:type="paragraph" w:customStyle="1" w:styleId="73">
    <w:name w:val="页脚 New New New New New New"/>
    <w:basedOn w:val="74"/>
    <w:autoRedefine/>
    <w:qFormat/>
    <w:uiPriority w:val="0"/>
    <w:pPr>
      <w:tabs>
        <w:tab w:val="center" w:pos="4153"/>
        <w:tab w:val="right" w:pos="8306"/>
      </w:tabs>
      <w:snapToGrid w:val="0"/>
      <w:jc w:val="left"/>
    </w:pPr>
    <w:rPr>
      <w:sz w:val="18"/>
    </w:rPr>
  </w:style>
  <w:style w:type="paragraph" w:customStyle="1" w:styleId="74">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页脚 New New New New"/>
    <w:basedOn w:val="76"/>
    <w:autoRedefine/>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77">
    <w:name w:val="样式1"/>
    <w:basedOn w:val="3"/>
    <w:autoRedefine/>
    <w:qFormat/>
    <w:uiPriority w:val="0"/>
    <w:pPr>
      <w:tabs>
        <w:tab w:val="left" w:pos="816"/>
      </w:tabs>
      <w:spacing w:line="0" w:lineRule="atLeast"/>
      <w:ind w:left="816" w:hanging="816"/>
    </w:pPr>
  </w:style>
  <w:style w:type="paragraph" w:customStyle="1" w:styleId="78">
    <w:name w:val="页眉 New New New New"/>
    <w:basedOn w:val="70"/>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Char Char Char Char"/>
    <w:basedOn w:val="1"/>
    <w:autoRedefine/>
    <w:qFormat/>
    <w:uiPriority w:val="0"/>
    <w:rPr>
      <w:rFonts w:eastAsia="仿宋_GB2312"/>
      <w:sz w:val="32"/>
    </w:rPr>
  </w:style>
  <w:style w:type="paragraph" w:customStyle="1" w:styleId="80">
    <w:name w:val="标题 2 New New"/>
    <w:basedOn w:val="76"/>
    <w:next w:val="76"/>
    <w:autoRedefine/>
    <w:qFormat/>
    <w:uiPriority w:val="0"/>
    <w:pPr>
      <w:keepNext/>
      <w:keepLines/>
      <w:adjustRightInd w:val="0"/>
      <w:snapToGrid w:val="0"/>
      <w:spacing w:line="360" w:lineRule="auto"/>
      <w:outlineLvl w:val="1"/>
    </w:pPr>
    <w:rPr>
      <w:rFonts w:ascii="宋体" w:hAnsi="宋体"/>
    </w:rPr>
  </w:style>
  <w:style w:type="paragraph" w:customStyle="1" w:styleId="81">
    <w:name w:val="页脚 New New New New New"/>
    <w:basedOn w:val="44"/>
    <w:autoRedefine/>
    <w:qFormat/>
    <w:uiPriority w:val="0"/>
    <w:pPr>
      <w:tabs>
        <w:tab w:val="center" w:pos="4153"/>
        <w:tab w:val="right" w:pos="8306"/>
      </w:tabs>
      <w:snapToGrid w:val="0"/>
      <w:jc w:val="left"/>
    </w:pPr>
    <w:rPr>
      <w:sz w:val="18"/>
    </w:rPr>
  </w:style>
  <w:style w:type="paragraph" w:customStyle="1" w:styleId="82">
    <w:name w:val="reader-word-layer reader-word-s1-9"/>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页脚 New"/>
    <w:basedOn w:val="60"/>
    <w:autoRedefine/>
    <w:qFormat/>
    <w:uiPriority w:val="0"/>
    <w:pPr>
      <w:tabs>
        <w:tab w:val="center" w:pos="4153"/>
        <w:tab w:val="right" w:pos="8306"/>
      </w:tabs>
      <w:snapToGrid w:val="0"/>
      <w:jc w:val="left"/>
    </w:pPr>
    <w:rPr>
      <w:sz w:val="18"/>
    </w:rPr>
  </w:style>
  <w:style w:type="paragraph" w:customStyle="1" w:styleId="84">
    <w:name w:val="页眉 New New New"/>
    <w:basedOn w:val="53"/>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Cs w:val="20"/>
    </w:rPr>
  </w:style>
  <w:style w:type="paragraph" w:customStyle="1" w:styleId="86">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页眉 New New New New New New"/>
    <w:basedOn w:val="74"/>
    <w:autoRedefine/>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character" w:customStyle="1" w:styleId="88">
    <w:name w:val="标题 字符"/>
    <w:link w:val="28"/>
    <w:autoRedefine/>
    <w:qFormat/>
    <w:locked/>
    <w:uiPriority w:val="0"/>
    <w:rPr>
      <w:rFonts w:ascii="Cambria" w:hAnsi="Cambria"/>
      <w:b/>
      <w:bCs/>
      <w:kern w:val="2"/>
      <w:sz w:val="32"/>
      <w:szCs w:val="32"/>
      <w:lang w:bidi="ar-SA"/>
    </w:rPr>
  </w:style>
  <w:style w:type="character" w:customStyle="1" w:styleId="89">
    <w:name w:val="标题 Char"/>
    <w:autoRedefine/>
    <w:qFormat/>
    <w:uiPriority w:val="0"/>
    <w:rPr>
      <w:rFonts w:ascii="Cambria" w:hAnsi="Cambria" w:cs="Times New Roman"/>
      <w:b/>
      <w:bCs/>
      <w:kern w:val="2"/>
      <w:sz w:val="36"/>
      <w:szCs w:val="32"/>
    </w:rPr>
  </w:style>
  <w:style w:type="character" w:customStyle="1" w:styleId="90">
    <w:name w:val="批注框文本 字符"/>
    <w:link w:val="18"/>
    <w:autoRedefine/>
    <w:qFormat/>
    <w:uiPriority w:val="0"/>
    <w:rPr>
      <w:rFonts w:eastAsia="宋体"/>
      <w:kern w:val="2"/>
      <w:sz w:val="18"/>
      <w:szCs w:val="18"/>
      <w:lang w:val="en-US" w:eastAsia="zh-CN" w:bidi="ar-SA"/>
    </w:rPr>
  </w:style>
  <w:style w:type="character" w:customStyle="1" w:styleId="91">
    <w:name w:val="纯文本 字符"/>
    <w:link w:val="15"/>
    <w:autoRedefine/>
    <w:qFormat/>
    <w:uiPriority w:val="0"/>
    <w:rPr>
      <w:rFonts w:ascii="宋体" w:hAnsi="Courier New" w:eastAsia="宋体"/>
      <w:kern w:val="2"/>
      <w:sz w:val="21"/>
      <w:szCs w:val="24"/>
      <w:lang w:val="en-US" w:eastAsia="zh-CN" w:bidi="ar-SA"/>
    </w:rPr>
  </w:style>
  <w:style w:type="character" w:customStyle="1" w:styleId="92">
    <w:name w:val="标题 Char1"/>
    <w:autoRedefine/>
    <w:qFormat/>
    <w:uiPriority w:val="0"/>
    <w:rPr>
      <w:rFonts w:ascii="Cambria" w:hAnsi="Cambria" w:cs="Times New Roman"/>
      <w:b/>
      <w:bCs/>
      <w:kern w:val="2"/>
      <w:sz w:val="32"/>
      <w:szCs w:val="32"/>
    </w:rPr>
  </w:style>
  <w:style w:type="character" w:customStyle="1" w:styleId="93">
    <w:name w:val="font31"/>
    <w:basedOn w:val="33"/>
    <w:autoRedefine/>
    <w:qFormat/>
    <w:uiPriority w:val="0"/>
    <w:rPr>
      <w:rFonts w:hint="default" w:ascii="方正书宋_GBK" w:hAnsi="方正书宋_GBK" w:eastAsia="方正书宋_GBK" w:cs="方正书宋_GBK"/>
      <w:color w:val="0A0A0A"/>
      <w:sz w:val="22"/>
      <w:szCs w:val="22"/>
      <w:u w:val="none"/>
    </w:rPr>
  </w:style>
  <w:style w:type="character" w:customStyle="1" w:styleId="94">
    <w:name w:val="font21"/>
    <w:basedOn w:val="33"/>
    <w:autoRedefine/>
    <w:qFormat/>
    <w:uiPriority w:val="0"/>
    <w:rPr>
      <w:rFonts w:hint="eastAsia" w:ascii="宋体" w:hAnsi="宋体" w:eastAsia="宋体" w:cs="宋体"/>
      <w:b/>
      <w:bCs/>
      <w:color w:val="000000"/>
      <w:sz w:val="22"/>
      <w:szCs w:val="22"/>
      <w:u w:val="none"/>
    </w:rPr>
  </w:style>
  <w:style w:type="paragraph" w:customStyle="1" w:styleId="95">
    <w:name w:val="首行缩进"/>
    <w:basedOn w:val="1"/>
    <w:autoRedefine/>
    <w:qFormat/>
    <w:uiPriority w:val="0"/>
    <w:pPr>
      <w:ind w:firstLine="480" w:firstLineChars="200"/>
    </w:pPr>
    <w:rPr>
      <w:lang w:val="zh-CN"/>
    </w:rPr>
  </w:style>
  <w:style w:type="paragraph" w:customStyle="1" w:styleId="96">
    <w:name w:val="WPSOffice手动目录 1"/>
    <w:autoRedefine/>
    <w:qFormat/>
    <w:uiPriority w:val="0"/>
    <w:rPr>
      <w:rFonts w:ascii="Times New Roman" w:hAnsi="Times New Roman" w:eastAsia="宋体" w:cs="Times New Roman"/>
      <w:lang w:val="en-US" w:eastAsia="zh-CN" w:bidi="ar-SA"/>
    </w:rPr>
  </w:style>
  <w:style w:type="paragraph" w:customStyle="1" w:styleId="9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9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99">
    <w:name w:val="Revision"/>
    <w:autoRedefine/>
    <w:hidden/>
    <w:unhideWhenUsed/>
    <w:qFormat/>
    <w:uiPriority w:val="99"/>
    <w:rPr>
      <w:rFonts w:ascii="Times New Roman" w:hAnsi="Times New Roman" w:eastAsia="宋体" w:cs="Times New Roman"/>
      <w:kern w:val="2"/>
      <w:sz w:val="21"/>
      <w:lang w:val="en-US" w:eastAsia="zh-CN" w:bidi="ar-SA"/>
    </w:rPr>
  </w:style>
  <w:style w:type="paragraph" w:styleId="100">
    <w:name w:val="List Paragraph"/>
    <w:basedOn w:val="1"/>
    <w:qFormat/>
    <w:uiPriority w:val="34"/>
    <w:pPr>
      <w:ind w:firstLine="420" w:firstLineChars="200"/>
    </w:pPr>
  </w:style>
  <w:style w:type="paragraph" w:customStyle="1" w:styleId="101">
    <w:name w:val="p1"/>
    <w:basedOn w:val="1"/>
    <w:autoRedefine/>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www.deepinghost.com</Company>
  <Pages>39</Pages>
  <Words>12316</Words>
  <Characters>12981</Characters>
  <Lines>85</Lines>
  <Paragraphs>24</Paragraphs>
  <TotalTime>60</TotalTime>
  <ScaleCrop>false</ScaleCrop>
  <LinksUpToDate>false</LinksUpToDate>
  <CharactersWithSpaces>13781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2020-05-16T09:16:00Z</dcterms:created>
  <dc:creator>User</dc:creator>
  <cp:lastModifiedBy>林思佳</cp:lastModifiedBy>
  <cp:lastPrinted>2025-02-12T02:08:00Z</cp:lastPrinted>
  <dcterms:modified xsi:type="dcterms:W3CDTF">2025-11-27T01:10:56Z</dcterms:modified>
  <dc:title>福建省高速公路养护工程材料采购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F01446B8E825F376D0BD2669D4DE8300_43</vt:lpwstr>
  </property>
  <property fmtid="{D5CDD505-2E9C-101B-9397-08002B2CF9AE}" pid="4" name="KSOTemplateDocerSaveRecord">
    <vt:lpwstr>eyJoZGlkIjoiYTYwYTlkODA1Y2E3MzE0YzQxNjUzZDVhZTQzZjlmZmYiLCJ1c2VySWQiOiI5ODY4NzAyMzAifQ==</vt:lpwstr>
  </property>
</Properties>
</file>