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_GB2312" w:hAnsi="Times New Roman" w:eastAsia="仿宋_GB2312" w:cs="Times New Roman"/>
          <w:b/>
          <w:bCs/>
          <w:color w:val="auto"/>
          <w:sz w:val="44"/>
          <w:szCs w:val="44"/>
          <w:highlight w:val="none"/>
        </w:rPr>
      </w:pPr>
      <w:bookmarkStart w:id="0" w:name="_Toc6837"/>
      <w:bookmarkStart w:id="1" w:name="_Toc31059"/>
      <w:bookmarkStart w:id="2" w:name="_Toc5076"/>
      <w:bookmarkStart w:id="3" w:name="_Toc22313"/>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bookmarkStart w:id="4" w:name="OLE_LINK8"/>
      <w:r>
        <w:rPr>
          <w:rFonts w:hint="eastAsia" w:ascii="仿宋_GB2312" w:hAnsi="仿宋_GB2312" w:eastAsia="仿宋_GB2312" w:cs="仿宋_GB2312"/>
          <w:b/>
          <w:bCs/>
          <w:color w:val="auto"/>
          <w:sz w:val="44"/>
          <w:szCs w:val="44"/>
          <w:highlight w:val="none"/>
          <w:lang w:eastAsia="zh-CN"/>
        </w:rPr>
        <w:t>TS级可导向防撞垫原材料（</w:t>
      </w:r>
      <w:r>
        <w:rPr>
          <w:rFonts w:hint="eastAsia" w:ascii="仿宋_GB2312" w:hAnsi="仿宋_GB2312" w:eastAsia="仿宋_GB2312" w:cs="仿宋_GB2312"/>
          <w:b/>
          <w:bCs/>
          <w:color w:val="auto"/>
          <w:sz w:val="44"/>
          <w:szCs w:val="44"/>
          <w:highlight w:val="none"/>
          <w:lang w:val="en-US" w:eastAsia="zh-CN"/>
        </w:rPr>
        <w:t>除梯度增强蜂窝部件）</w:t>
      </w:r>
      <w:r>
        <w:rPr>
          <w:rFonts w:hint="eastAsia" w:ascii="仿宋_GB2312" w:hAnsi="仿宋_GB2312" w:eastAsia="仿宋_GB2312" w:cs="仿宋_GB2312"/>
          <w:b/>
          <w:bCs/>
          <w:color w:val="auto"/>
          <w:sz w:val="44"/>
          <w:szCs w:val="44"/>
          <w:highlight w:val="none"/>
        </w:rPr>
        <w:t>询价采购文件</w:t>
      </w:r>
    </w:p>
    <w:bookmarkEnd w:id="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pStyle w:val="2"/>
        <w:rPr>
          <w:rFonts w:ascii="仿宋_GB2312" w:eastAsia="仿宋_GB2312"/>
          <w:color w:val="auto"/>
          <w:sz w:val="44"/>
          <w:szCs w:val="44"/>
          <w:highlight w:val="none"/>
        </w:rPr>
      </w:pPr>
    </w:p>
    <w:p>
      <w:pPr>
        <w:pStyle w:val="2"/>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6"/>
          <w:szCs w:val="36"/>
          <w:highlight w:val="none"/>
          <w:lang w:eastAsia="zh-CN"/>
        </w:rPr>
      </w:pPr>
      <w:r>
        <w:rPr>
          <w:rFonts w:hint="eastAsia" w:ascii="仿宋_GB2312" w:eastAsia="仿宋_GB2312"/>
          <w:color w:val="auto"/>
          <w:sz w:val="36"/>
          <w:szCs w:val="36"/>
          <w:highlight w:val="none"/>
        </w:rPr>
        <w:t>询价采购人：</w:t>
      </w:r>
      <w:r>
        <w:rPr>
          <w:rFonts w:hint="eastAsia" w:ascii="仿宋_GB2312" w:eastAsia="仿宋_GB2312"/>
          <w:color w:val="auto"/>
          <w:sz w:val="36"/>
          <w:szCs w:val="36"/>
          <w:highlight w:val="none"/>
          <w:lang w:eastAsia="zh-CN"/>
        </w:rPr>
        <w:t>福路通资源循环（福建）有限公司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36"/>
          <w:szCs w:val="36"/>
          <w:highlight w:val="none"/>
        </w:rPr>
      </w:pPr>
      <w:r>
        <w:rPr>
          <w:rFonts w:hint="eastAsia" w:ascii="仿宋_GB2312" w:eastAsia="仿宋_GB2312"/>
          <w:color w:val="auto"/>
          <w:sz w:val="36"/>
          <w:szCs w:val="36"/>
          <w:highlight w:val="none"/>
        </w:rPr>
        <w:t>日  期：2025年</w:t>
      </w:r>
      <w:r>
        <w:rPr>
          <w:rFonts w:hint="eastAsia" w:ascii="仿宋_GB2312" w:eastAsia="仿宋_GB2312"/>
          <w:color w:val="auto"/>
          <w:sz w:val="36"/>
          <w:szCs w:val="36"/>
          <w:highlight w:val="none"/>
          <w:lang w:val="en-US" w:eastAsia="zh-CN"/>
        </w:rPr>
        <w:t>9</w:t>
      </w:r>
      <w:r>
        <w:rPr>
          <w:rFonts w:hint="eastAsia" w:ascii="仿宋_GB2312" w:eastAsia="仿宋_GB2312"/>
          <w:color w:val="auto"/>
          <w:sz w:val="36"/>
          <w:szCs w:val="36"/>
          <w:highlight w:val="none"/>
        </w:rPr>
        <w:t>月</w:t>
      </w:r>
      <w:r>
        <w:rPr>
          <w:rFonts w:hint="eastAsia" w:ascii="仿宋_GB2312" w:eastAsia="仿宋_GB2312"/>
          <w:color w:val="auto"/>
          <w:sz w:val="36"/>
          <w:szCs w:val="36"/>
          <w:highlight w:val="none"/>
          <w:lang w:val="en-US" w:eastAsia="zh-CN"/>
        </w:rPr>
        <w:t>1</w:t>
      </w:r>
      <w:r>
        <w:rPr>
          <w:rFonts w:hint="eastAsia" w:ascii="仿宋_GB2312" w:eastAsia="仿宋_GB2312"/>
          <w:color w:val="auto"/>
          <w:sz w:val="36"/>
          <w:szCs w:val="36"/>
          <w:highlight w:val="none"/>
        </w:rPr>
        <w:t>日</w:t>
      </w:r>
    </w:p>
    <w:p>
      <w:pPr>
        <w:spacing w:line="560" w:lineRule="exact"/>
        <w:rPr>
          <w:rFonts w:ascii="仿宋_GB2312" w:eastAsia="仿宋_GB2312"/>
          <w:b/>
          <w:color w:val="auto"/>
          <w:sz w:val="32"/>
          <w:szCs w:val="32"/>
          <w:highlight w:val="none"/>
        </w:rPr>
      </w:pPr>
    </w:p>
    <w:p>
      <w:pPr>
        <w:rPr>
          <w:color w:val="auto"/>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9"/>
        <w:rPr>
          <w:color w:val="auto"/>
          <w:highlight w:val="none"/>
        </w:rPr>
      </w:pPr>
      <w:bookmarkStart w:id="5" w:name="_Toc10711"/>
      <w:bookmarkStart w:id="6" w:name="_Toc15082"/>
      <w:bookmarkStart w:id="7" w:name="_Toc17350"/>
      <w:bookmarkStart w:id="8" w:name="_Toc9421"/>
      <w:r>
        <w:rPr>
          <w:rFonts w:hint="eastAsia" w:ascii="黑体" w:hAnsi="黑体" w:eastAsia="黑体" w:cs="黑体"/>
          <w:color w:val="auto"/>
          <w:sz w:val="44"/>
          <w:szCs w:val="44"/>
          <w:highlight w:val="none"/>
        </w:rPr>
        <w:t>目  录</w:t>
      </w:r>
      <w:bookmarkEnd w:id="5"/>
      <w:bookmarkEnd w:id="6"/>
      <w:bookmarkEnd w:id="7"/>
    </w:p>
    <w:bookmarkEnd w:id="8"/>
    <w:sdt>
      <w:sdtPr>
        <w:rPr>
          <w:rFonts w:ascii="宋体" w:hAnsi="宋体" w:eastAsia="宋体" w:cs="Times New Roman"/>
          <w:color w:val="auto"/>
          <w:kern w:val="2"/>
          <w:sz w:val="21"/>
          <w:highlight w:val="none"/>
          <w:lang w:val="en-US" w:eastAsia="zh-CN" w:bidi="ar-SA"/>
        </w:rPr>
        <w:id w:val="147455381"/>
        <w15:color w:val="DBDBDB"/>
        <w:docPartObj>
          <w:docPartGallery w:val="Table of Contents"/>
          <w:docPartUnique/>
        </w:docPartObj>
      </w:sdtPr>
      <w:sdtEndPr>
        <w:rPr>
          <w:rFonts w:hint="eastAsia" w:ascii="仿宋_GB2312" w:hAnsi="仿宋_GB2312" w:eastAsia="仿宋_GB2312" w:cs="仿宋_GB2312"/>
          <w:color w:val="auto"/>
          <w:kern w:val="2"/>
          <w:sz w:val="24"/>
          <w:szCs w:val="32"/>
          <w:highlight w:val="none"/>
          <w:lang w:val="en-US" w:eastAsia="zh-CN" w:bidi="ar-SA"/>
        </w:rPr>
      </w:sdtEndPr>
      <w:sdtContent>
        <w:p>
          <w:pPr>
            <w:keepNext w:val="0"/>
            <w:keepLines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color w:val="auto"/>
              <w:highlight w:val="none"/>
            </w:rPr>
          </w:pP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_Toc23473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第一篇  询价采购公告</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_Toc23473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3</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t xml:space="preserve"> -</w:t>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_Toc20226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第二篇  项目采购规格、最高限价及质量要求</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_Toc20226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7</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t xml:space="preserve"> -</w:t>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_Toc12890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第三篇  供应商须知</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_Toc12890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- 10 -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_Toc22954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第四篇  响应文件要求</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_Toc22954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- 13 -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_Toc30156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第五篇  评审办法</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_Toc30156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- 16 -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_Toc3466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第六篇  合同主要条款、合同格式</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_Toc3466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- 21 -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_Toc12462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第七篇  响应文件格式</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_Toc12462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- 29 -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_Toc32112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rPr>
            <w:t>一、报 价 函</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_Toc32112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- 34 -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_Toc28569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lang w:val="en-US" w:eastAsia="zh-CN" w:bidi="ar-SA"/>
            </w:rPr>
            <w:t>二、</w:t>
          </w:r>
          <w:r>
            <w:rPr>
              <w:rFonts w:hint="eastAsia" w:ascii="仿宋_GB2312" w:hAnsi="仿宋_GB2312" w:eastAsia="仿宋_GB2312" w:cs="仿宋_GB2312"/>
              <w:b w:val="0"/>
              <w:bCs/>
              <w:color w:val="auto"/>
              <w:kern w:val="44"/>
              <w:sz w:val="32"/>
              <w:szCs w:val="32"/>
              <w:highlight w:val="none"/>
            </w:rPr>
            <w:t>报 价 表</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_Toc28569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- 35 -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_Toc23747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rPr>
            <w:t>三、供应商法定代表人身份证明书</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_Toc23747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- 36 -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_Toc9094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rPr>
            <w:t>四、供应商法定代表人授权委托书</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_Toc9094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- 38 -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_Toc22759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rPr>
            <w:t>五、资质文件</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_Toc22759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- 40 -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_Toc15993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lang w:val="en-US" w:eastAsia="zh-CN"/>
            </w:rPr>
            <w:t>六</w:t>
          </w:r>
          <w:r>
            <w:rPr>
              <w:rFonts w:hint="eastAsia" w:ascii="仿宋_GB2312" w:hAnsi="仿宋_GB2312" w:eastAsia="仿宋_GB2312" w:cs="仿宋_GB2312"/>
              <w:b w:val="0"/>
              <w:bCs/>
              <w:color w:val="auto"/>
              <w:kern w:val="44"/>
              <w:sz w:val="32"/>
              <w:szCs w:val="32"/>
              <w:highlight w:val="none"/>
            </w:rPr>
            <w:t>、其他文件</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_Toc15993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- 41 -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color w:val="auto"/>
              <w:highlight w:val="none"/>
            </w:rPr>
          </w:pP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HYPERLINK \l _Toc21651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kern w:val="44"/>
              <w:sz w:val="32"/>
              <w:szCs w:val="32"/>
              <w:highlight w:val="none"/>
              <w:lang w:val="en-US" w:eastAsia="zh-CN"/>
            </w:rPr>
            <w:t>七</w:t>
          </w:r>
          <w:r>
            <w:rPr>
              <w:rFonts w:hint="eastAsia" w:ascii="仿宋_GB2312" w:hAnsi="仿宋_GB2312" w:eastAsia="仿宋_GB2312" w:cs="仿宋_GB2312"/>
              <w:b w:val="0"/>
              <w:bCs/>
              <w:color w:val="auto"/>
              <w:kern w:val="44"/>
              <w:sz w:val="32"/>
              <w:szCs w:val="32"/>
              <w:highlight w:val="none"/>
            </w:rPr>
            <w:t>、供应商廉政保证书</w:t>
          </w:r>
          <w:r>
            <w:rPr>
              <w:rFonts w:hint="eastAsia" w:ascii="仿宋_GB2312" w:hAnsi="仿宋_GB2312" w:eastAsia="仿宋_GB2312" w:cs="仿宋_GB2312"/>
              <w:b w:val="0"/>
              <w:bCs/>
              <w:color w:val="auto"/>
              <w:sz w:val="32"/>
              <w:szCs w:val="32"/>
              <w:highlight w:val="none"/>
            </w:rPr>
            <w:tab/>
          </w:r>
          <w:r>
            <w:rPr>
              <w:rFonts w:hint="eastAsia" w:ascii="仿宋_GB2312" w:hAnsi="仿宋_GB2312" w:eastAsia="仿宋_GB2312" w:cs="仿宋_GB2312"/>
              <w:b w:val="0"/>
              <w:bCs/>
              <w:color w:val="auto"/>
              <w:sz w:val="32"/>
              <w:szCs w:val="32"/>
              <w:highlight w:val="none"/>
            </w:rPr>
            <w:fldChar w:fldCharType="begin"/>
          </w:r>
          <w:r>
            <w:rPr>
              <w:rFonts w:hint="eastAsia" w:ascii="仿宋_GB2312" w:hAnsi="仿宋_GB2312" w:eastAsia="仿宋_GB2312" w:cs="仿宋_GB2312"/>
              <w:b w:val="0"/>
              <w:bCs/>
              <w:color w:val="auto"/>
              <w:sz w:val="32"/>
              <w:szCs w:val="32"/>
              <w:highlight w:val="none"/>
            </w:rPr>
            <w:instrText xml:space="preserve"> PAGEREF _Toc21651 \h </w:instrText>
          </w:r>
          <w:r>
            <w:rPr>
              <w:rFonts w:hint="eastAsia" w:ascii="仿宋_GB2312" w:hAnsi="仿宋_GB2312" w:eastAsia="仿宋_GB2312" w:cs="仿宋_GB2312"/>
              <w:b w:val="0"/>
              <w:bCs/>
              <w:color w:val="auto"/>
              <w:sz w:val="32"/>
              <w:szCs w:val="32"/>
              <w:highlight w:val="none"/>
            </w:rPr>
            <w:fldChar w:fldCharType="separate"/>
          </w:r>
          <w:r>
            <w:rPr>
              <w:rFonts w:hint="eastAsia" w:ascii="仿宋_GB2312" w:hAnsi="仿宋_GB2312" w:eastAsia="仿宋_GB2312" w:cs="仿宋_GB2312"/>
              <w:b w:val="0"/>
              <w:bCs/>
              <w:color w:val="auto"/>
              <w:sz w:val="32"/>
              <w:szCs w:val="32"/>
              <w:highlight w:val="none"/>
            </w:rPr>
            <w:t>- 42 -</w:t>
          </w:r>
          <w:r>
            <w:rPr>
              <w:rFonts w:hint="eastAsia" w:ascii="仿宋_GB2312" w:hAnsi="仿宋_GB2312" w:eastAsia="仿宋_GB2312" w:cs="仿宋_GB2312"/>
              <w:b w:val="0"/>
              <w:bCs/>
              <w:color w:val="auto"/>
              <w:sz w:val="32"/>
              <w:szCs w:val="32"/>
              <w:highlight w:val="none"/>
            </w:rPr>
            <w:fldChar w:fldCharType="end"/>
          </w:r>
          <w:r>
            <w:rPr>
              <w:rFonts w:hint="eastAsia" w:ascii="仿宋_GB2312" w:hAnsi="仿宋_GB2312" w:eastAsia="仿宋_GB2312" w:cs="仿宋_GB2312"/>
              <w:b w:val="0"/>
              <w:bCs/>
              <w:color w:val="auto"/>
              <w:sz w:val="32"/>
              <w:szCs w:val="32"/>
              <w:highlight w:val="none"/>
            </w:rPr>
            <w:fldChar w:fldCharType="end"/>
          </w:r>
        </w:p>
        <w:p>
          <w:pPr>
            <w:pStyle w:val="2"/>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Cs w:val="32"/>
              <w:highlight w:val="none"/>
            </w:rPr>
            <w:fldChar w:fldCharType="end"/>
          </w:r>
        </w:p>
      </w:sdtContent>
    </w:sdt>
    <w:p>
      <w:pPr>
        <w:pStyle w:val="2"/>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4"/>
          <w:szCs w:val="32"/>
          <w:highlight w:val="none"/>
          <w:lang w:val="en-US" w:eastAsia="zh-CN" w:bidi="ar-SA"/>
        </w:rPr>
      </w:pPr>
    </w:p>
    <w:p>
      <w:pPr>
        <w:pageBreakBefore/>
        <w:spacing w:line="560" w:lineRule="exact"/>
        <w:jc w:val="center"/>
        <w:outlineLvl w:val="0"/>
        <w:rPr>
          <w:rFonts w:hint="eastAsia" w:ascii="黑体" w:hAnsi="黑体" w:eastAsia="黑体" w:cs="黑体"/>
          <w:color w:val="auto"/>
          <w:sz w:val="44"/>
          <w:szCs w:val="44"/>
          <w:highlight w:val="none"/>
        </w:rPr>
      </w:pPr>
      <w:bookmarkStart w:id="9" w:name="_Toc23473"/>
      <w:bookmarkStart w:id="10" w:name="_Toc32144"/>
      <w:bookmarkStart w:id="11" w:name="_Toc24334"/>
      <w:bookmarkStart w:id="12" w:name="_Toc31528"/>
      <w:r>
        <w:rPr>
          <w:rFonts w:hint="eastAsia" w:ascii="黑体" w:hAnsi="黑体" w:eastAsia="黑体" w:cs="黑体"/>
          <w:color w:val="auto"/>
          <w:sz w:val="44"/>
          <w:szCs w:val="44"/>
          <w:highlight w:val="none"/>
        </w:rPr>
        <w:t>第一篇  询价采购公告</w:t>
      </w:r>
      <w:bookmarkEnd w:id="9"/>
      <w:bookmarkEnd w:id="10"/>
      <w:bookmarkEnd w:id="11"/>
      <w:bookmarkEnd w:id="12"/>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新型TS级可导向防撞垫原材料（不含梯度增强蜂窝部件）</w:t>
      </w:r>
      <w:r>
        <w:rPr>
          <w:rFonts w:hint="eastAsia" w:ascii="仿宋_GB2312" w:hAnsi="仿宋_GB2312" w:eastAsia="仿宋_GB2312" w:cs="仿宋_GB2312"/>
          <w:color w:val="auto"/>
          <w:sz w:val="32"/>
          <w:szCs w:val="32"/>
          <w:highlight w:val="none"/>
        </w:rPr>
        <w:t>进行询价采购，现欢迎中国境内具备资质能力的合格供应商参与本项目询价活动。</w:t>
      </w:r>
    </w:p>
    <w:p>
      <w:pPr>
        <w:spacing w:line="560" w:lineRule="exact"/>
        <w:ind w:firstLine="640" w:firstLineChars="200"/>
        <w:outlineLvl w:val="0"/>
        <w:rPr>
          <w:rFonts w:ascii="仿宋_GB2312" w:hAnsi="仿宋_GB2312" w:eastAsia="仿宋_GB2312" w:cs="仿宋_GB2312"/>
          <w:b/>
          <w:color w:val="auto"/>
          <w:sz w:val="32"/>
          <w:szCs w:val="32"/>
          <w:highlight w:val="none"/>
        </w:rPr>
      </w:pPr>
      <w:bookmarkStart w:id="13" w:name="_Toc23117"/>
      <w:bookmarkStart w:id="14" w:name="_Toc8192"/>
      <w:bookmarkStart w:id="15" w:name="_Toc359"/>
      <w:bookmarkStart w:id="16" w:name="_Toc11987"/>
      <w:bookmarkStart w:id="17" w:name="_Toc7329"/>
      <w:bookmarkStart w:id="18" w:name="_Toc508286650"/>
      <w:bookmarkStart w:id="19" w:name="_Toc257911916"/>
      <w:bookmarkStart w:id="20" w:name="_Toc409439663"/>
      <w:r>
        <w:rPr>
          <w:rFonts w:hint="eastAsia" w:ascii="仿宋_GB2312" w:hAnsi="仿宋_GB2312" w:eastAsia="仿宋_GB2312" w:cs="仿宋_GB2312"/>
          <w:b/>
          <w:color w:val="auto"/>
          <w:sz w:val="32"/>
          <w:szCs w:val="32"/>
          <w:highlight w:val="none"/>
        </w:rPr>
        <w:t>一、项目基本情况</w:t>
      </w:r>
      <w:bookmarkEnd w:id="13"/>
      <w:bookmarkEnd w:id="14"/>
      <w:bookmarkEnd w:id="15"/>
      <w:bookmarkEnd w:id="16"/>
      <w:bookmarkEnd w:id="17"/>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项目名称：</w:t>
      </w:r>
      <w:bookmarkStart w:id="21" w:name="OLE_LINK5"/>
      <w:r>
        <w:rPr>
          <w:rFonts w:hint="eastAsia" w:ascii="仿宋_GB2312" w:hAnsi="仿宋_GB2312" w:eastAsia="仿宋_GB2312" w:cs="仿宋_GB2312"/>
          <w:color w:val="auto"/>
          <w:sz w:val="32"/>
          <w:szCs w:val="32"/>
          <w:highlight w:val="none"/>
          <w:lang w:val="en-US" w:eastAsia="zh-CN"/>
        </w:rPr>
        <w:t>TS级可导向防撞垫原材料</w:t>
      </w:r>
      <w:bookmarkEnd w:id="21"/>
      <w:r>
        <w:rPr>
          <w:rFonts w:hint="eastAsia" w:ascii="仿宋_GB2312" w:hAnsi="仿宋_GB2312" w:eastAsia="仿宋_GB2312" w:cs="仿宋_GB2312"/>
          <w:color w:val="auto"/>
          <w:sz w:val="32"/>
          <w:szCs w:val="32"/>
          <w:highlight w:val="none"/>
          <w:lang w:val="en-US" w:eastAsia="zh-CN"/>
        </w:rPr>
        <w:t>（不含梯度增强蜂窝部件）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采购方式：公开询价采购</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采购需求：</w:t>
      </w:r>
      <w:r>
        <w:rPr>
          <w:rFonts w:hint="eastAsia" w:ascii="仿宋_GB2312" w:hAnsi="仿宋_GB2312" w:eastAsia="仿宋_GB2312" w:cs="仿宋_GB2312"/>
          <w:color w:val="auto"/>
          <w:sz w:val="32"/>
          <w:szCs w:val="32"/>
          <w:highlight w:val="none"/>
          <w:lang w:val="en-US" w:eastAsia="zh-CN"/>
        </w:rPr>
        <w:t>原材料采购</w:t>
      </w:r>
      <w:r>
        <w:rPr>
          <w:rFonts w:hint="eastAsia" w:ascii="仿宋_GB2312" w:hAnsi="仿宋_GB2312" w:eastAsia="仿宋_GB2312" w:cs="仿宋_GB2312"/>
          <w:color w:val="auto"/>
          <w:sz w:val="32"/>
          <w:szCs w:val="32"/>
          <w:highlight w:val="none"/>
        </w:rPr>
        <w:t>，具体要求详见采购文件第二篇。</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项目含税最高</w:t>
      </w:r>
      <w:r>
        <w:rPr>
          <w:rFonts w:hint="eastAsia" w:ascii="仿宋_GB2312" w:hAnsi="仿宋_GB2312" w:eastAsia="仿宋_GB2312" w:cs="仿宋_GB2312"/>
          <w:color w:val="auto"/>
          <w:sz w:val="32"/>
          <w:szCs w:val="32"/>
          <w:highlight w:val="none"/>
          <w:lang w:val="en-US" w:eastAsia="zh-CN"/>
        </w:rPr>
        <w:t>限制单价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6950</w:t>
      </w:r>
      <w:r>
        <w:rPr>
          <w:rFonts w:hint="eastAsia" w:ascii="仿宋_GB2312" w:hAnsi="仿宋_GB2312" w:eastAsia="仿宋_GB2312" w:cs="仿宋_GB2312"/>
          <w:color w:val="auto"/>
          <w:sz w:val="32"/>
          <w:szCs w:val="32"/>
          <w:highlight w:val="none"/>
          <w:lang w:bidi="ar"/>
        </w:rPr>
        <w:t>元</w:t>
      </w:r>
      <w:r>
        <w:rPr>
          <w:rFonts w:hint="eastAsia" w:ascii="仿宋_GB2312" w:hAnsi="仿宋_GB2312" w:eastAsia="仿宋_GB2312" w:cs="仿宋_GB2312"/>
          <w:color w:val="auto"/>
          <w:sz w:val="32"/>
          <w:szCs w:val="32"/>
          <w:highlight w:val="none"/>
          <w:lang w:val="en-US" w:eastAsia="zh-CN" w:bidi="ar"/>
        </w:rPr>
        <w:t>/套，</w:t>
      </w:r>
      <w:r>
        <w:rPr>
          <w:rFonts w:hint="eastAsia" w:ascii="仿宋_GB2312" w:hAnsi="仿宋_GB2312" w:eastAsia="仿宋_GB2312" w:cs="仿宋_GB2312"/>
          <w:color w:val="auto"/>
          <w:sz w:val="32"/>
          <w:szCs w:val="32"/>
          <w:highlight w:val="none"/>
          <w:lang w:bidi="ar"/>
        </w:rPr>
        <w:t>本项目设置响应最高</w:t>
      </w:r>
      <w:r>
        <w:rPr>
          <w:rFonts w:hint="eastAsia" w:ascii="仿宋_GB2312" w:hAnsi="仿宋_GB2312" w:eastAsia="仿宋_GB2312" w:cs="仿宋_GB2312"/>
          <w:color w:val="auto"/>
          <w:sz w:val="32"/>
          <w:szCs w:val="32"/>
          <w:highlight w:val="none"/>
          <w:lang w:val="en-US" w:eastAsia="zh-CN" w:bidi="ar"/>
        </w:rPr>
        <w:t>限制单价</w:t>
      </w:r>
      <w:r>
        <w:rPr>
          <w:rFonts w:hint="eastAsia" w:ascii="仿宋_GB2312" w:hAnsi="仿宋_GB2312" w:eastAsia="仿宋_GB2312" w:cs="仿宋_GB2312"/>
          <w:color w:val="auto"/>
          <w:sz w:val="32"/>
          <w:szCs w:val="32"/>
          <w:highlight w:val="none"/>
          <w:lang w:bidi="ar"/>
        </w:rPr>
        <w:t>，供应商响应报价不得超出最高</w:t>
      </w:r>
      <w:r>
        <w:rPr>
          <w:rFonts w:hint="eastAsia" w:ascii="仿宋_GB2312" w:hAnsi="仿宋_GB2312" w:eastAsia="仿宋_GB2312" w:cs="仿宋_GB2312"/>
          <w:color w:val="auto"/>
          <w:sz w:val="32"/>
          <w:szCs w:val="32"/>
          <w:highlight w:val="none"/>
          <w:lang w:val="en-US" w:eastAsia="zh-CN" w:bidi="ar"/>
        </w:rPr>
        <w:t>限制单价</w:t>
      </w:r>
      <w:r>
        <w:rPr>
          <w:rFonts w:hint="eastAsia" w:ascii="仿宋_GB2312" w:hAnsi="仿宋_GB2312" w:eastAsia="仿宋_GB2312" w:cs="仿宋_GB2312"/>
          <w:color w:val="auto"/>
          <w:sz w:val="32"/>
          <w:szCs w:val="32"/>
          <w:highlight w:val="none"/>
          <w:lang w:bidi="ar"/>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合同履行期限：自合同签订之日起一年内</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供货地点：</w:t>
      </w:r>
      <w:r>
        <w:rPr>
          <w:rFonts w:hint="eastAsia" w:ascii="仿宋_GB2312" w:hAnsi="仿宋_GB2312" w:eastAsia="仿宋_GB2312" w:cs="仿宋_GB2312"/>
          <w:bCs/>
          <w:color w:val="auto"/>
          <w:sz w:val="32"/>
          <w:szCs w:val="32"/>
          <w:highlight w:val="none"/>
        </w:rPr>
        <w:t>福建省内采购人指定地点</w:t>
      </w:r>
    </w:p>
    <w:p>
      <w:pPr>
        <w:spacing w:line="560" w:lineRule="exact"/>
        <w:ind w:firstLine="640" w:firstLineChars="200"/>
        <w:outlineLvl w:val="0"/>
        <w:rPr>
          <w:rFonts w:ascii="仿宋_GB2312" w:hAnsi="仿宋_GB2312" w:eastAsia="仿宋_GB2312" w:cs="仿宋_GB2312"/>
          <w:b/>
          <w:color w:val="auto"/>
          <w:sz w:val="32"/>
          <w:szCs w:val="32"/>
          <w:highlight w:val="none"/>
        </w:rPr>
      </w:pPr>
      <w:bookmarkStart w:id="22" w:name="_Toc5762"/>
      <w:bookmarkStart w:id="23" w:name="_Toc9620"/>
      <w:bookmarkStart w:id="24" w:name="_Toc27157"/>
      <w:bookmarkStart w:id="25" w:name="_Toc26096"/>
      <w:bookmarkStart w:id="26" w:name="_Toc12322"/>
      <w:r>
        <w:rPr>
          <w:rFonts w:hint="eastAsia" w:ascii="仿宋_GB2312" w:hAnsi="仿宋_GB2312" w:eastAsia="仿宋_GB2312" w:cs="仿宋_GB2312"/>
          <w:b/>
          <w:color w:val="auto"/>
          <w:sz w:val="32"/>
          <w:szCs w:val="32"/>
          <w:highlight w:val="none"/>
        </w:rPr>
        <w:t>二、供应商资格条件</w:t>
      </w:r>
      <w:bookmarkEnd w:id="22"/>
      <w:bookmarkEnd w:id="23"/>
      <w:bookmarkEnd w:id="24"/>
      <w:bookmarkEnd w:id="25"/>
      <w:bookmarkEnd w:id="26"/>
    </w:p>
    <w:p>
      <w:pPr>
        <w:wordWrap w:val="0"/>
        <w:spacing w:line="560" w:lineRule="exact"/>
        <w:ind w:firstLine="640" w:firstLineChars="200"/>
        <w:rPr>
          <w:rFonts w:ascii="仿宋_GB2312" w:hAnsi="仿宋_GB2312" w:eastAsia="仿宋_GB2312" w:cs="仿宋_GB2312"/>
          <w:color w:val="auto"/>
          <w:sz w:val="32"/>
          <w:szCs w:val="32"/>
          <w:highlight w:val="none"/>
        </w:rPr>
      </w:pPr>
      <w:bookmarkStart w:id="27" w:name="_Toc21706"/>
      <w:bookmarkStart w:id="28" w:name="_Toc19788"/>
      <w:bookmarkStart w:id="29" w:name="OLE_LINK2"/>
      <w:r>
        <w:rPr>
          <w:rFonts w:hint="eastAsia" w:ascii="仿宋_GB2312" w:hAnsi="仿宋_GB2312" w:eastAsia="仿宋_GB2312" w:cs="仿宋_GB2312"/>
          <w:color w:val="auto"/>
          <w:sz w:val="32"/>
          <w:szCs w:val="32"/>
          <w:highlight w:val="none"/>
        </w:rPr>
        <w:t>（一）在中华人民共和国境内注册且合法存续的企业法人。</w:t>
      </w:r>
      <w:bookmarkEnd w:id="27"/>
      <w:bookmarkEnd w:id="28"/>
    </w:p>
    <w:p>
      <w:pPr>
        <w:wordWrap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wordWrap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）企业、法定代表人未被列入失信被执行人名单（应提供企业、企业法定代表人在中国执行信息公开网http://zxgk.court.gov.cn中“综合查询被执行人-全国法院”查询的信息（网页截图））。</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）符合国家法律、行政法规规定的其他条件。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）本项目不接受联合体</w:t>
      </w:r>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rPr>
        <w:t>，不得转租、转让。</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）法定代表人为同一个人的两个及两个以上法人，母公司、全资子公司及其控股公司，存在资产关联关系的单位，不得在本次</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活动中同时提交</w:t>
      </w:r>
      <w:r>
        <w:rPr>
          <w:rFonts w:hint="eastAsia" w:ascii="仿宋_GB2312" w:hAnsi="仿宋_GB2312" w:eastAsia="仿宋_GB2312"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rPr>
        <w:t>。</w:t>
      </w:r>
    </w:p>
    <w:bookmarkEnd w:id="29"/>
    <w:p>
      <w:pPr>
        <w:spacing w:line="560" w:lineRule="exact"/>
        <w:ind w:firstLine="640" w:firstLineChars="200"/>
        <w:outlineLvl w:val="0"/>
        <w:rPr>
          <w:rFonts w:ascii="仿宋_GB2312" w:hAnsi="仿宋_GB2312" w:eastAsia="仿宋_GB2312" w:cs="仿宋_GB2312"/>
          <w:b/>
          <w:color w:val="auto"/>
          <w:sz w:val="32"/>
          <w:szCs w:val="32"/>
          <w:highlight w:val="none"/>
        </w:rPr>
      </w:pPr>
      <w:bookmarkStart w:id="30" w:name="_Toc24219"/>
      <w:bookmarkStart w:id="31" w:name="_Toc1301"/>
      <w:bookmarkStart w:id="32" w:name="_Toc8793"/>
      <w:bookmarkStart w:id="33" w:name="_Toc13870"/>
      <w:bookmarkStart w:id="34" w:name="_Toc23288"/>
      <w:r>
        <w:rPr>
          <w:rFonts w:hint="eastAsia" w:ascii="仿宋_GB2312" w:hAnsi="仿宋_GB2312" w:eastAsia="仿宋_GB2312" w:cs="仿宋_GB2312"/>
          <w:b/>
          <w:color w:val="auto"/>
          <w:sz w:val="32"/>
          <w:szCs w:val="32"/>
          <w:highlight w:val="none"/>
        </w:rPr>
        <w:t>三、采购文件获取方式</w:t>
      </w:r>
      <w:bookmarkEnd w:id="30"/>
      <w:bookmarkEnd w:id="31"/>
      <w:bookmarkEnd w:id="32"/>
      <w:bookmarkEnd w:id="33"/>
      <w:bookmarkEnd w:id="34"/>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凡有意参加本项目的供应商采用以下两种方式获取采购文件：</w:t>
      </w:r>
    </w:p>
    <w:p>
      <w:pPr>
        <w:wordWrap w:val="0"/>
        <w:spacing w:line="560" w:lineRule="exact"/>
        <w:ind w:firstLine="640" w:firstLineChars="200"/>
        <w:rPr>
          <w:rStyle w:val="37"/>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（一）意向参与本项目的供应商自行在本项目响应文件递交截止时间前访问福建省高速公路集团有限公司官网（</w:t>
      </w:r>
      <w:r>
        <w:rPr>
          <w:rStyle w:val="37"/>
          <w:rFonts w:hint="eastAsia" w:ascii="仿宋_GB2312" w:hAnsi="仿宋_GB2312" w:eastAsia="仿宋_GB2312" w:cs="仿宋_GB2312"/>
          <w:color w:val="auto"/>
          <w:sz w:val="32"/>
          <w:szCs w:val="32"/>
          <w:highlight w:val="none"/>
          <w:u w:val="none"/>
        </w:rPr>
        <w:fldChar w:fldCharType="begin"/>
      </w:r>
      <w:r>
        <w:rPr>
          <w:rStyle w:val="37"/>
          <w:rFonts w:hint="eastAsia" w:ascii="仿宋_GB2312" w:hAnsi="仿宋_GB2312" w:eastAsia="仿宋_GB2312" w:cs="仿宋_GB2312"/>
          <w:color w:val="auto"/>
          <w:sz w:val="32"/>
          <w:szCs w:val="32"/>
          <w:highlight w:val="none"/>
          <w:u w:val="none"/>
        </w:rPr>
        <w:instrText xml:space="preserve"> HYPERLINK "http://www.fjgsgl.com）自行下载,或请于2020年5月" </w:instrText>
      </w:r>
      <w:r>
        <w:rPr>
          <w:rStyle w:val="37"/>
          <w:rFonts w:hint="eastAsia" w:ascii="仿宋_GB2312" w:hAnsi="仿宋_GB2312" w:eastAsia="仿宋_GB2312" w:cs="仿宋_GB2312"/>
          <w:color w:val="auto"/>
          <w:sz w:val="32"/>
          <w:szCs w:val="32"/>
          <w:highlight w:val="none"/>
          <w:u w:val="none"/>
        </w:rPr>
        <w:fldChar w:fldCharType="separate"/>
      </w:r>
      <w:r>
        <w:rPr>
          <w:rStyle w:val="37"/>
          <w:rFonts w:hint="eastAsia" w:ascii="仿宋_GB2312" w:hAnsi="仿宋_GB2312" w:eastAsia="仿宋_GB2312" w:cs="仿宋_GB2312"/>
          <w:color w:val="auto"/>
          <w:sz w:val="32"/>
          <w:szCs w:val="32"/>
          <w:highlight w:val="none"/>
          <w:u w:val="none"/>
        </w:rPr>
        <w:t>www.fjgsgl.com）、</w:t>
      </w:r>
      <w:r>
        <w:rPr>
          <w:rStyle w:val="37"/>
          <w:rFonts w:hint="eastAsia" w:ascii="仿宋_GB2312" w:hAnsi="仿宋_GB2312" w:eastAsia="仿宋_GB2312" w:cs="仿宋_GB2312"/>
          <w:color w:val="auto"/>
          <w:sz w:val="32"/>
          <w:szCs w:val="32"/>
          <w:highlight w:val="none"/>
          <w:u w:val="none"/>
          <w:lang w:val="en-US" w:eastAsia="zh-CN"/>
        </w:rPr>
        <w:t>中国</w:t>
      </w:r>
      <w:r>
        <w:rPr>
          <w:rStyle w:val="37"/>
          <w:rFonts w:hint="eastAsia" w:ascii="仿宋_GB2312" w:hAnsi="仿宋_GB2312" w:eastAsia="仿宋_GB2312" w:cs="仿宋_GB2312"/>
          <w:color w:val="auto"/>
          <w:sz w:val="32"/>
          <w:szCs w:val="32"/>
          <w:highlight w:val="none"/>
          <w:u w:val="none"/>
        </w:rPr>
        <w:t>采购与招标网（http://www.chinabidding.com.cn/)、福建高速集采平台（https://gsjc.fjetc.com/)下载采购文件。</w:t>
      </w:r>
    </w:p>
    <w:p>
      <w:pPr>
        <w:wordWrap w:val="0"/>
        <w:spacing w:line="560" w:lineRule="exact"/>
        <w:ind w:firstLine="640" w:firstLineChars="200"/>
        <w:rPr>
          <w:rFonts w:ascii="仿宋_GB2312" w:hAnsi="仿宋_GB2312" w:eastAsia="仿宋_GB2312" w:cs="仿宋_GB2312"/>
          <w:color w:val="auto"/>
          <w:sz w:val="32"/>
          <w:szCs w:val="32"/>
          <w:highlight w:val="none"/>
        </w:rPr>
      </w:pPr>
      <w:r>
        <w:rPr>
          <w:rStyle w:val="37"/>
          <w:rFonts w:hint="eastAsia" w:ascii="仿宋_GB2312" w:hAnsi="仿宋_GB2312" w:eastAsia="仿宋_GB2312" w:cs="仿宋_GB2312"/>
          <w:color w:val="auto"/>
          <w:sz w:val="32"/>
          <w:szCs w:val="32"/>
          <w:highlight w:val="none"/>
          <w:u w:val="none"/>
        </w:rPr>
        <w:t>（二）意向参与本项目的供应商于2025年</w:t>
      </w:r>
      <w:r>
        <w:rPr>
          <w:rStyle w:val="37"/>
          <w:rFonts w:hint="eastAsia" w:ascii="仿宋_GB2312" w:hAnsi="仿宋_GB2312" w:eastAsia="仿宋_GB2312" w:cs="仿宋_GB2312"/>
          <w:color w:val="auto"/>
          <w:sz w:val="32"/>
          <w:szCs w:val="32"/>
          <w:highlight w:val="none"/>
          <w:u w:val="none"/>
          <w:lang w:val="en-US" w:eastAsia="zh-CN"/>
        </w:rPr>
        <w:t>9</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rPr>
        <w:fldChar w:fldCharType="end"/>
      </w:r>
      <w:r>
        <w:rPr>
          <w:rStyle w:val="37"/>
          <w:rFonts w:hint="eastAsia" w:ascii="仿宋_GB2312" w:hAnsi="仿宋_GB2312" w:eastAsia="仿宋_GB2312" w:cs="仿宋_GB2312"/>
          <w:color w:val="auto"/>
          <w:sz w:val="32"/>
          <w:szCs w:val="32"/>
          <w:highlight w:val="none"/>
          <w:u w:val="none"/>
          <w:lang w:val="en-US" w:eastAsia="zh-CN"/>
        </w:rPr>
        <w:t>1</w:t>
      </w:r>
      <w:r>
        <w:rPr>
          <w:rStyle w:val="37"/>
          <w:rFonts w:hint="eastAsia" w:ascii="仿宋_GB2312" w:hAnsi="仿宋_GB2312" w:eastAsia="仿宋_GB2312" w:cs="仿宋_GB2312"/>
          <w:color w:val="auto"/>
          <w:sz w:val="32"/>
          <w:szCs w:val="32"/>
          <w:highlight w:val="none"/>
          <w:u w:val="none"/>
        </w:rPr>
        <w:t>日至</w:t>
      </w:r>
      <w:r>
        <w:rPr>
          <w:rStyle w:val="37"/>
          <w:rFonts w:hint="eastAsia" w:ascii="仿宋_GB2312" w:hAnsi="仿宋_GB2312" w:eastAsia="仿宋_GB2312" w:cs="仿宋_GB2312"/>
          <w:color w:val="auto"/>
          <w:sz w:val="32"/>
          <w:szCs w:val="32"/>
          <w:highlight w:val="none"/>
          <w:u w:val="none"/>
          <w:lang w:val="en-US" w:eastAsia="zh-CN"/>
        </w:rPr>
        <w:t>9</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rPr>
        <w:t>日（法定公休日及法定节假日除外）每天</w:t>
      </w:r>
      <w:r>
        <w:rPr>
          <w:rFonts w:ascii="仿宋_GB2312" w:hAnsi="仿宋_GB2312" w:eastAsia="仿宋_GB2312" w:cs="仿宋_GB2312"/>
          <w:color w:val="auto"/>
          <w:sz w:val="32"/>
          <w:szCs w:val="32"/>
          <w:highlight w:val="none"/>
        </w:rPr>
        <w:t>9:00</w:t>
      </w:r>
      <w:r>
        <w:rPr>
          <w:rFonts w:hint="eastAsia" w:ascii="仿宋_GB2312" w:hAnsi="仿宋_GB2312" w:eastAsia="仿宋_GB2312" w:cs="仿宋_GB2312"/>
          <w:color w:val="auto"/>
          <w:sz w:val="32"/>
          <w:szCs w:val="32"/>
          <w:highlight w:val="none"/>
        </w:rPr>
        <w:t>—17:00，到</w:t>
      </w: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（福建省福州市鼓楼区东水路18号交通运输厅26楼）领取询价采购文件</w:t>
      </w:r>
      <w:r>
        <w:rPr>
          <w:rFonts w:hint="eastAsia" w:ascii="仿宋_GB2312" w:hAnsi="仿宋_GB2312" w:eastAsia="仿宋_GB2312" w:cs="仿宋_GB2312"/>
          <w:color w:val="auto"/>
          <w:sz w:val="32"/>
          <w:szCs w:val="32"/>
          <w:highlight w:val="none"/>
          <w:lang w:val="en-US" w:eastAsia="zh-CN"/>
        </w:rPr>
        <w:t>或自行从官网下载</w:t>
      </w:r>
      <w:r>
        <w:rPr>
          <w:rFonts w:hint="eastAsia" w:ascii="仿宋_GB2312" w:hAnsi="仿宋_GB2312" w:eastAsia="仿宋_GB2312" w:cs="仿宋_GB2312"/>
          <w:color w:val="auto"/>
          <w:sz w:val="32"/>
          <w:szCs w:val="32"/>
          <w:highlight w:val="none"/>
        </w:rPr>
        <w:t>。</w:t>
      </w:r>
    </w:p>
    <w:p>
      <w:pPr>
        <w:spacing w:line="560" w:lineRule="exact"/>
        <w:ind w:firstLine="640" w:firstLineChars="200"/>
        <w:outlineLvl w:val="0"/>
        <w:rPr>
          <w:rFonts w:ascii="仿宋_GB2312" w:hAnsi="仿宋_GB2312" w:eastAsia="仿宋_GB2312" w:cs="仿宋_GB2312"/>
          <w:color w:val="auto"/>
          <w:sz w:val="32"/>
          <w:szCs w:val="32"/>
          <w:highlight w:val="none"/>
        </w:rPr>
      </w:pPr>
      <w:bookmarkStart w:id="35" w:name="_Toc20987"/>
      <w:bookmarkStart w:id="36" w:name="_Toc26131"/>
      <w:bookmarkStart w:id="37" w:name="_Toc13417"/>
      <w:bookmarkStart w:id="38" w:name="_Toc19478"/>
      <w:bookmarkStart w:id="39" w:name="_Toc4696"/>
      <w:r>
        <w:rPr>
          <w:rFonts w:hint="eastAsia" w:ascii="仿宋_GB2312" w:hAnsi="仿宋_GB2312" w:eastAsia="仿宋_GB2312" w:cs="仿宋_GB2312"/>
          <w:b/>
          <w:color w:val="auto"/>
          <w:sz w:val="32"/>
          <w:szCs w:val="32"/>
          <w:highlight w:val="none"/>
        </w:rPr>
        <w:t>四、响应文件递交方式及递交截止时间</w:t>
      </w:r>
      <w:bookmarkEnd w:id="35"/>
      <w:bookmarkEnd w:id="36"/>
      <w:bookmarkEnd w:id="37"/>
      <w:bookmarkEnd w:id="38"/>
      <w:bookmarkEnd w:id="39"/>
    </w:p>
    <w:p>
      <w:pPr>
        <w:spacing w:line="560" w:lineRule="exact"/>
        <w:ind w:firstLine="640" w:firstLineChars="200"/>
        <w:outlineLvl w:val="1"/>
        <w:rPr>
          <w:rFonts w:ascii="仿宋_GB2312" w:hAnsi="仿宋_GB2312" w:eastAsia="仿宋_GB2312" w:cs="仿宋_GB2312"/>
          <w:bCs/>
          <w:color w:val="auto"/>
          <w:sz w:val="32"/>
          <w:szCs w:val="32"/>
          <w:highlight w:val="none"/>
        </w:rPr>
      </w:pPr>
      <w:bookmarkStart w:id="40" w:name="_Toc31488"/>
      <w:bookmarkStart w:id="41" w:name="_Toc6177"/>
      <w:r>
        <w:rPr>
          <w:rFonts w:hint="eastAsia" w:ascii="仿宋_GB2312" w:hAnsi="仿宋_GB2312" w:eastAsia="仿宋_GB2312" w:cs="仿宋_GB2312"/>
          <w:bCs/>
          <w:color w:val="auto"/>
          <w:sz w:val="32"/>
          <w:szCs w:val="32"/>
          <w:highlight w:val="none"/>
        </w:rPr>
        <w:t>（一）响应文件递交方式</w:t>
      </w:r>
      <w:bookmarkEnd w:id="40"/>
      <w:bookmarkEnd w:id="41"/>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本项目可采用以下两种方式送达响应文件：</w:t>
      </w:r>
    </w:p>
    <w:p>
      <w:pPr>
        <w:spacing w:line="560" w:lineRule="exact"/>
        <w:ind w:firstLine="640" w:firstLineChars="200"/>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rPr>
        <w:t>邮寄递交：供应商应在响应递交截止时间前将响应文件按照询价采购文件规定包封后快递送达福州市鼓楼区东水路18号交通综合大楼26层，采购人以签收响应文件时间确定为递交时间。</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收件信息如下：</w:t>
      </w:r>
    </w:p>
    <w:p>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邮寄地址：福州市鼓楼区东水路18号交通综合大楼26层</w:t>
      </w:r>
      <w:r>
        <w:rPr>
          <w:rFonts w:hint="eastAsia" w:ascii="仿宋_GB2312" w:hAnsi="仿宋_GB2312" w:eastAsia="仿宋_GB2312" w:cs="仿宋_GB2312"/>
          <w:bCs/>
          <w:color w:val="auto"/>
          <w:sz w:val="32"/>
          <w:szCs w:val="32"/>
          <w:highlight w:val="none"/>
          <w:lang w:eastAsia="zh-CN"/>
        </w:rPr>
        <w:t>福路通资源循环（福建）有限公司</w:t>
      </w:r>
    </w:p>
    <w:p>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收件人：</w:t>
      </w:r>
      <w:r>
        <w:rPr>
          <w:rFonts w:hint="eastAsia" w:ascii="仿宋_GB2312" w:hAnsi="仿宋_GB2312" w:eastAsia="仿宋_GB2312" w:cs="仿宋_GB2312"/>
          <w:bCs/>
          <w:color w:val="auto"/>
          <w:sz w:val="32"/>
          <w:szCs w:val="32"/>
          <w:highlight w:val="none"/>
          <w:lang w:val="en-US" w:eastAsia="zh-CN"/>
        </w:rPr>
        <w:t>吴先生</w:t>
      </w:r>
    </w:p>
    <w:p>
      <w:pPr>
        <w:spacing w:line="560" w:lineRule="exac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联系电话：</w:t>
      </w:r>
      <w:r>
        <w:rPr>
          <w:rFonts w:hint="eastAsia" w:ascii="仿宋_GB2312" w:hAnsi="仿宋_GB2312" w:eastAsia="仿宋_GB2312" w:cs="仿宋_GB2312"/>
          <w:bCs/>
          <w:color w:val="auto"/>
          <w:sz w:val="32"/>
          <w:szCs w:val="32"/>
          <w:highlight w:val="none"/>
          <w:lang w:val="en-US" w:eastAsia="zh-CN"/>
        </w:rPr>
        <w:t>17305039658</w:t>
      </w:r>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rPr>
        <w:t>现场递交：供应商应在响应文件递交截止时间前由供应商法定代表人或其授权代表将纸质响应文件按照询价采购文件规定包封后递交</w:t>
      </w:r>
      <w:r>
        <w:rPr>
          <w:rFonts w:hint="eastAsia" w:ascii="仿宋_GB2312" w:hAnsi="仿宋_GB2312" w:eastAsia="仿宋_GB2312" w:cs="仿宋_GB2312"/>
          <w:color w:val="auto"/>
          <w:sz w:val="32"/>
          <w:szCs w:val="32"/>
          <w:highlight w:val="none"/>
        </w:rPr>
        <w:t>至</w:t>
      </w:r>
      <w:bookmarkStart w:id="42" w:name="OLE_LINK1"/>
      <w:r>
        <w:rPr>
          <w:rFonts w:hint="eastAsia" w:ascii="仿宋_GB2312" w:hAnsi="仿宋_GB2312" w:eastAsia="仿宋_GB2312" w:cs="仿宋_GB2312"/>
          <w:color w:val="auto"/>
          <w:sz w:val="32"/>
          <w:szCs w:val="32"/>
          <w:highlight w:val="none"/>
          <w:u w:val="none"/>
        </w:rPr>
        <w:t>福</w:t>
      </w:r>
      <w:r>
        <w:rPr>
          <w:rFonts w:hint="eastAsia" w:ascii="仿宋_GB2312" w:hAnsi="仿宋_GB2312" w:eastAsia="仿宋_GB2312" w:cs="仿宋_GB2312"/>
          <w:color w:val="auto"/>
          <w:sz w:val="32"/>
          <w:szCs w:val="32"/>
          <w:highlight w:val="none"/>
        </w:rPr>
        <w:t>建省福州市鼓楼区东水路18号交通运输厅26楼</w:t>
      </w:r>
      <w:bookmarkEnd w:id="42"/>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出席代表需携带法人代表证明或法人授权委托书、身份证原件及盖有单位公章的上述资料复印件</w:t>
      </w:r>
      <w:r>
        <w:rPr>
          <w:rFonts w:hint="eastAsia" w:ascii="仿宋_GB2312" w:hAnsi="仿宋_GB2312" w:eastAsia="仿宋_GB2312" w:cs="仿宋_GB2312"/>
          <w:color w:val="auto"/>
          <w:sz w:val="32"/>
          <w:szCs w:val="32"/>
          <w:highlight w:val="none"/>
        </w:rPr>
        <w:t>以供审查，未按要求提交投标文件将被拒绝。</w:t>
      </w:r>
    </w:p>
    <w:p>
      <w:pPr>
        <w:spacing w:line="560" w:lineRule="exact"/>
        <w:ind w:firstLine="640" w:firstLineChars="200"/>
        <w:rPr>
          <w:rFonts w:ascii="仿宋_GB2312" w:hAnsi="仿宋_GB2312" w:eastAsia="仿宋_GB2312" w:cs="仿宋_GB2312"/>
          <w:color w:val="auto"/>
          <w:sz w:val="32"/>
          <w:szCs w:val="32"/>
          <w:highlight w:val="none"/>
        </w:rPr>
      </w:pPr>
      <w:bookmarkStart w:id="43" w:name="_Toc19577"/>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响应文件递交截止时间</w:t>
      </w:r>
      <w:bookmarkEnd w:id="43"/>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u w:val="single"/>
        </w:rPr>
        <w:t>2025</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val="en-US" w:eastAsia="zh-CN"/>
        </w:rPr>
        <w:t>9</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u w:val="single"/>
          <w:lang w:val="en-US" w:eastAsia="zh-CN"/>
        </w:rPr>
        <w:t>上</w:t>
      </w:r>
      <w:r>
        <w:rPr>
          <w:rFonts w:hint="eastAsia" w:ascii="仿宋_GB2312" w:hAnsi="仿宋_GB2312" w:eastAsia="仿宋_GB2312" w:cs="仿宋_GB2312"/>
          <w:color w:val="auto"/>
          <w:sz w:val="32"/>
          <w:szCs w:val="32"/>
          <w:highlight w:val="none"/>
          <w:u w:val="single"/>
        </w:rPr>
        <w:t>午</w:t>
      </w:r>
      <w:r>
        <w:rPr>
          <w:rFonts w:ascii="仿宋_GB2312" w:hAnsi="仿宋_GB2312" w:eastAsia="仿宋_GB2312" w:cs="仿宋_GB2312"/>
          <w:color w:val="auto"/>
          <w:sz w:val="32"/>
          <w:szCs w:val="32"/>
          <w:highlight w:val="none"/>
          <w:u w:val="single"/>
        </w:rPr>
        <w:t>9:30</w:t>
      </w:r>
      <w:r>
        <w:rPr>
          <w:rFonts w:hint="eastAsia" w:ascii="仿宋_GB2312" w:hAnsi="仿宋_GB2312" w:eastAsia="仿宋_GB2312" w:cs="仿宋_GB2312"/>
          <w:color w:val="auto"/>
          <w:sz w:val="32"/>
          <w:szCs w:val="32"/>
          <w:highlight w:val="none"/>
        </w:rPr>
        <w:t>（北京时间），逾期送达的或不符合采购文件规定的响应文件将被拒绝。</w:t>
      </w:r>
      <w:bookmarkStart w:id="502" w:name="_GoBack"/>
      <w:bookmarkEnd w:id="502"/>
    </w:p>
    <w:p>
      <w:pPr>
        <w:spacing w:line="560" w:lineRule="exact"/>
        <w:ind w:firstLine="640" w:firstLineChars="200"/>
        <w:jc w:val="left"/>
        <w:outlineLvl w:val="0"/>
        <w:rPr>
          <w:rFonts w:ascii="仿宋_GB2312" w:hAnsi="仿宋_GB2312" w:eastAsia="仿宋_GB2312" w:cs="仿宋_GB2312"/>
          <w:bCs/>
          <w:color w:val="auto"/>
          <w:sz w:val="32"/>
          <w:szCs w:val="32"/>
          <w:highlight w:val="none"/>
        </w:rPr>
      </w:pPr>
      <w:bookmarkStart w:id="44" w:name="_Toc14480"/>
      <w:bookmarkStart w:id="45" w:name="_Toc17721"/>
      <w:bookmarkStart w:id="46" w:name="_Toc30636"/>
      <w:bookmarkStart w:id="47" w:name="_Toc5555"/>
      <w:bookmarkStart w:id="48" w:name="_Toc9269"/>
      <w:r>
        <w:rPr>
          <w:rFonts w:hint="eastAsia" w:ascii="仿宋_GB2312" w:hAnsi="仿宋_GB2312" w:eastAsia="仿宋_GB2312" w:cs="仿宋_GB2312"/>
          <w:b/>
          <w:color w:val="auto"/>
          <w:sz w:val="32"/>
          <w:szCs w:val="32"/>
          <w:highlight w:val="none"/>
        </w:rPr>
        <w:t>五、开标评审时间及地点</w:t>
      </w:r>
      <w:bookmarkEnd w:id="44"/>
      <w:bookmarkEnd w:id="45"/>
      <w:bookmarkEnd w:id="46"/>
      <w:bookmarkEnd w:id="47"/>
      <w:bookmarkEnd w:id="48"/>
      <w:bookmarkStart w:id="49" w:name="OLE_LINK3"/>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u w:val="single"/>
        </w:rPr>
        <w:t>2025</w:t>
      </w:r>
      <w:r>
        <w:rPr>
          <w:rFonts w:hint="eastAsia" w:ascii="仿宋_GB2312" w:hAnsi="仿宋_GB2312" w:eastAsia="仿宋_GB2312" w:cs="仿宋_GB2312"/>
          <w:color w:val="auto"/>
          <w:sz w:val="32"/>
          <w:szCs w:val="32"/>
          <w:highlight w:val="none"/>
          <w:u w:val="single"/>
        </w:rPr>
        <w:t>年</w:t>
      </w:r>
      <w:bookmarkEnd w:id="49"/>
      <w:r>
        <w:rPr>
          <w:rFonts w:hint="eastAsia" w:ascii="仿宋_GB2312" w:hAnsi="仿宋_GB2312" w:eastAsia="仿宋_GB2312" w:cs="仿宋_GB2312"/>
          <w:color w:val="auto"/>
          <w:sz w:val="32"/>
          <w:szCs w:val="32"/>
          <w:highlight w:val="none"/>
          <w:u w:val="single"/>
          <w:lang w:val="en-US" w:eastAsia="zh-CN"/>
        </w:rPr>
        <w:t>9</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日上午</w:t>
      </w:r>
      <w:r>
        <w:rPr>
          <w:rFonts w:ascii="仿宋_GB2312" w:hAnsi="仿宋_GB2312" w:eastAsia="仿宋_GB2312" w:cs="仿宋_GB2312"/>
          <w:color w:val="auto"/>
          <w:sz w:val="32"/>
          <w:szCs w:val="32"/>
          <w:highlight w:val="none"/>
          <w:u w:val="single"/>
        </w:rPr>
        <w:t>9:30</w:t>
      </w:r>
      <w:r>
        <w:rPr>
          <w:rFonts w:hint="eastAsia" w:ascii="仿宋_GB2312" w:hAnsi="仿宋_GB2312" w:eastAsia="仿宋_GB2312" w:cs="仿宋_GB2312"/>
          <w:color w:val="auto"/>
          <w:sz w:val="32"/>
          <w:szCs w:val="32"/>
          <w:highlight w:val="none"/>
        </w:rPr>
        <w:t>（北京时间），福建省福州市鼓楼区东水路18号交通运输厅26楼</w:t>
      </w: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w:t>
      </w:r>
    </w:p>
    <w:p>
      <w:pPr>
        <w:spacing w:line="560" w:lineRule="exact"/>
        <w:ind w:firstLine="640" w:firstLineChars="200"/>
        <w:jc w:val="lef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六、凡对本次</w:t>
      </w:r>
      <w:r>
        <w:rPr>
          <w:rFonts w:hint="eastAsia" w:ascii="仿宋_GB2312" w:hAnsi="仿宋_GB2312" w:eastAsia="仿宋_GB2312" w:cs="仿宋_GB2312"/>
          <w:b/>
          <w:color w:val="auto"/>
          <w:sz w:val="32"/>
          <w:szCs w:val="32"/>
          <w:highlight w:val="none"/>
          <w:lang w:val="en-US" w:eastAsia="zh-CN"/>
        </w:rPr>
        <w:t>询价</w:t>
      </w:r>
      <w:r>
        <w:rPr>
          <w:rFonts w:hint="eastAsia" w:ascii="仿宋_GB2312" w:hAnsi="仿宋_GB2312" w:eastAsia="仿宋_GB2312" w:cs="仿宋_GB2312"/>
          <w:b/>
          <w:color w:val="auto"/>
          <w:sz w:val="32"/>
          <w:szCs w:val="32"/>
          <w:highlight w:val="none"/>
        </w:rPr>
        <w:t>提出咨询澄清或疑问，请在响应文件递交截止时间之前三日以书面形</w:t>
      </w:r>
      <w:r>
        <w:rPr>
          <w:rFonts w:hint="eastAsia" w:ascii="仿宋_GB2312" w:hAnsi="仿宋_GB2312" w:eastAsia="仿宋_GB2312" w:cs="仿宋_GB2312"/>
          <w:b/>
          <w:bCs w:val="0"/>
          <w:color w:val="auto"/>
          <w:sz w:val="32"/>
          <w:szCs w:val="32"/>
          <w:highlight w:val="none"/>
        </w:rPr>
        <w:t>式与</w:t>
      </w:r>
      <w:r>
        <w:rPr>
          <w:rFonts w:hint="eastAsia" w:ascii="仿宋_GB2312" w:hAnsi="仿宋_GB2312" w:eastAsia="仿宋_GB2312" w:cs="仿宋_GB2312"/>
          <w:b/>
          <w:bCs w:val="0"/>
          <w:color w:val="auto"/>
          <w:sz w:val="32"/>
          <w:szCs w:val="32"/>
          <w:highlight w:val="none"/>
          <w:lang w:eastAsia="zh-CN"/>
        </w:rPr>
        <w:t>福路通资源循环（福建）有限公司</w:t>
      </w:r>
      <w:r>
        <w:rPr>
          <w:rFonts w:hint="eastAsia" w:ascii="仿宋_GB2312" w:hAnsi="仿宋_GB2312" w:eastAsia="仿宋_GB2312" w:cs="仿宋_GB2312"/>
          <w:b/>
          <w:color w:val="auto"/>
          <w:sz w:val="32"/>
          <w:szCs w:val="32"/>
          <w:highlight w:val="none"/>
        </w:rPr>
        <w:t>联系。</w:t>
      </w:r>
      <w:r>
        <w:rPr>
          <w:rFonts w:ascii="仿宋_GB2312" w:hAnsi="仿宋_GB2312" w:eastAsia="仿宋_GB2312" w:cs="仿宋_GB2312"/>
          <w:b/>
          <w:color w:val="auto"/>
          <w:sz w:val="32"/>
          <w:szCs w:val="32"/>
          <w:highlight w:val="none"/>
        </w:rPr>
        <w:t xml:space="preserve"> </w:t>
      </w:r>
    </w:p>
    <w:p>
      <w:pPr>
        <w:spacing w:line="560" w:lineRule="exact"/>
        <w:ind w:firstLine="640" w:firstLineChars="200"/>
        <w:jc w:val="lef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七、</w:t>
      </w:r>
      <w:r>
        <w:rPr>
          <w:rFonts w:hint="eastAsia" w:ascii="仿宋_GB2312" w:hAnsi="仿宋_GB2312" w:eastAsia="仿宋_GB2312" w:cs="仿宋_GB2312"/>
          <w:b/>
          <w:color w:val="auto"/>
          <w:sz w:val="32"/>
          <w:szCs w:val="32"/>
          <w:highlight w:val="none"/>
          <w:lang w:val="en-US" w:eastAsia="zh-CN"/>
        </w:rPr>
        <w:t>询价</w:t>
      </w:r>
      <w:r>
        <w:rPr>
          <w:rFonts w:hint="eastAsia" w:ascii="仿宋_GB2312" w:hAnsi="仿宋_GB2312" w:eastAsia="仿宋_GB2312" w:cs="仿宋_GB2312"/>
          <w:b/>
          <w:color w:val="auto"/>
          <w:sz w:val="32"/>
          <w:szCs w:val="32"/>
          <w:highlight w:val="none"/>
        </w:rPr>
        <w:t>文件和要求如有补充修改，采购人将通过福建省高速公路集团有限公司官网（</w:t>
      </w:r>
      <w:r>
        <w:rPr>
          <w:color w:val="auto"/>
          <w:highlight w:val="none"/>
        </w:rPr>
        <w:fldChar w:fldCharType="begin"/>
      </w:r>
      <w:r>
        <w:rPr>
          <w:color w:val="auto"/>
          <w:highlight w:val="none"/>
        </w:rPr>
        <w:instrText xml:space="preserve"> HYPERLINK "http://www.fjgsgl.com）自行下载,或请于2020年5月" </w:instrText>
      </w:r>
      <w:r>
        <w:rPr>
          <w:color w:val="auto"/>
          <w:highlight w:val="none"/>
        </w:rPr>
        <w:fldChar w:fldCharType="separate"/>
      </w:r>
      <w:r>
        <w:rPr>
          <w:rFonts w:hint="eastAsia" w:ascii="仿宋_GB2312" w:hAnsi="仿宋_GB2312" w:eastAsia="仿宋_GB2312" w:cs="仿宋_GB2312"/>
          <w:b/>
          <w:color w:val="auto"/>
          <w:sz w:val="32"/>
          <w:szCs w:val="32"/>
          <w:highlight w:val="none"/>
        </w:rPr>
        <w:t>www.fjgsgl.com）、</w:t>
      </w:r>
      <w:r>
        <w:rPr>
          <w:rFonts w:hint="eastAsia" w:ascii="仿宋_GB2312" w:hAnsi="仿宋_GB2312" w:eastAsia="仿宋_GB2312" w:cs="仿宋_GB2312"/>
          <w:b/>
          <w:color w:val="auto"/>
          <w:sz w:val="32"/>
          <w:szCs w:val="32"/>
          <w:highlight w:val="none"/>
          <w:lang w:val="en-US" w:eastAsia="zh-CN"/>
        </w:rPr>
        <w:t>中国</w:t>
      </w:r>
      <w:r>
        <w:rPr>
          <w:rFonts w:hint="eastAsia" w:ascii="仿宋_GB2312" w:hAnsi="仿宋_GB2312" w:eastAsia="仿宋_GB2312" w:cs="仿宋_GB2312"/>
          <w:b/>
          <w:color w:val="auto"/>
          <w:sz w:val="32"/>
          <w:szCs w:val="32"/>
          <w:highlight w:val="none"/>
        </w:rPr>
        <w:t>采购与招标网（http://www.chinabidding.com.cn/)、福建高速集采平台（https://gsjc.fjetc.com/)</w:t>
      </w:r>
      <w:r>
        <w:rPr>
          <w:rFonts w:hint="eastAsia" w:ascii="仿宋_GB2312" w:hAnsi="仿宋_GB2312" w:eastAsia="仿宋_GB2312" w:cs="仿宋_GB2312"/>
          <w:b/>
          <w:color w:val="auto"/>
          <w:sz w:val="32"/>
          <w:szCs w:val="32"/>
          <w:highlight w:val="none"/>
        </w:rPr>
        <w:fldChar w:fldCharType="end"/>
      </w:r>
      <w:r>
        <w:rPr>
          <w:rFonts w:hint="eastAsia" w:ascii="仿宋_GB2312" w:hAnsi="仿宋_GB2312" w:eastAsia="仿宋_GB2312" w:cs="仿宋_GB2312"/>
          <w:b/>
          <w:color w:val="auto"/>
          <w:sz w:val="32"/>
          <w:szCs w:val="32"/>
          <w:highlight w:val="none"/>
        </w:rPr>
        <w:t>通知，请供应商自行关注。</w:t>
      </w:r>
    </w:p>
    <w:p>
      <w:pPr>
        <w:spacing w:line="560" w:lineRule="exact"/>
        <w:ind w:firstLine="640" w:firstLineChars="200"/>
        <w:jc w:val="left"/>
        <w:outlineLvl w:val="0"/>
        <w:rPr>
          <w:rFonts w:ascii="仿宋_GB2312" w:hAnsi="仿宋_GB2312" w:eastAsia="仿宋_GB2312" w:cs="仿宋_GB2312"/>
          <w:b/>
          <w:color w:val="auto"/>
          <w:sz w:val="32"/>
          <w:szCs w:val="32"/>
          <w:highlight w:val="none"/>
        </w:rPr>
      </w:pPr>
      <w:bookmarkStart w:id="50" w:name="_Toc1155"/>
      <w:bookmarkStart w:id="51" w:name="_Toc30926"/>
      <w:bookmarkStart w:id="52" w:name="_Toc17097"/>
      <w:bookmarkStart w:id="53" w:name="_Toc17450"/>
      <w:bookmarkStart w:id="54" w:name="_Toc31861"/>
      <w:r>
        <w:rPr>
          <w:rFonts w:hint="eastAsia" w:ascii="仿宋_GB2312" w:hAnsi="仿宋_GB2312" w:eastAsia="仿宋_GB2312" w:cs="仿宋_GB2312"/>
          <w:b/>
          <w:color w:val="auto"/>
          <w:sz w:val="32"/>
          <w:szCs w:val="32"/>
          <w:highlight w:val="none"/>
        </w:rPr>
        <w:t>八、评审办法</w:t>
      </w:r>
      <w:bookmarkEnd w:id="50"/>
      <w:bookmarkEnd w:id="51"/>
      <w:bookmarkEnd w:id="52"/>
      <w:bookmarkEnd w:id="53"/>
      <w:bookmarkEnd w:id="54"/>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最低价评审法</w:t>
      </w:r>
      <w:r>
        <w:rPr>
          <w:rFonts w:hint="eastAsia" w:ascii="仿宋_GB2312" w:hAnsi="仿宋_GB2312" w:eastAsia="仿宋_GB2312" w:cs="仿宋_GB2312"/>
          <w:bCs/>
          <w:color w:val="auto"/>
          <w:sz w:val="32"/>
          <w:szCs w:val="32"/>
          <w:highlight w:val="none"/>
        </w:rPr>
        <w:t>，具体详见</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文件。</w:t>
      </w:r>
    </w:p>
    <w:p>
      <w:pPr>
        <w:spacing w:line="560" w:lineRule="exact"/>
        <w:rPr>
          <w:rFonts w:hint="eastAsia" w:ascii="仿宋_GB2312" w:hAnsi="仿宋_GB2312" w:eastAsia="仿宋_GB2312" w:cs="仿宋_GB2312"/>
          <w:bCs/>
          <w:color w:val="auto"/>
          <w:sz w:val="32"/>
          <w:szCs w:val="32"/>
          <w:highlight w:val="none"/>
        </w:rPr>
      </w:pPr>
    </w:p>
    <w:p>
      <w:pPr>
        <w:pStyle w:val="26"/>
        <w:rPr>
          <w:rFonts w:hint="eastAsia" w:ascii="仿宋_GB2312" w:hAnsi="仿宋_GB2312" w:eastAsia="仿宋_GB2312" w:cs="仿宋_GB2312"/>
          <w:bCs/>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采购人：</w:t>
      </w:r>
      <w:r>
        <w:rPr>
          <w:rFonts w:hint="eastAsia" w:ascii="仿宋_GB2312" w:hAnsi="仿宋_GB2312" w:eastAsia="仿宋_GB2312" w:cs="仿宋_GB2312"/>
          <w:color w:val="auto"/>
          <w:sz w:val="32"/>
          <w:szCs w:val="32"/>
          <w:highlight w:val="none"/>
          <w:lang w:eastAsia="zh-CN"/>
        </w:rPr>
        <w:t>福路通资源循环（福建）有限公司</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地址：福建省福州市鼓楼区东水路18号交通运输厅26楼</w:t>
      </w:r>
      <w:r>
        <w:rPr>
          <w:rFonts w:hint="eastAsia" w:ascii="仿宋_GB2312" w:hAnsi="仿宋_GB2312" w:eastAsia="仿宋_GB2312" w:cs="仿宋_GB2312"/>
          <w:color w:val="auto"/>
          <w:sz w:val="32"/>
          <w:szCs w:val="32"/>
          <w:highlight w:val="none"/>
          <w:lang w:eastAsia="zh-CN"/>
        </w:rPr>
        <w:t>福路通资源循环（福建）有限公司</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吴志超</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lang w:val="en-US" w:eastAsia="zh-CN"/>
        </w:rPr>
        <w:t>17305039658</w:t>
      </w:r>
    </w:p>
    <w:p>
      <w:pPr>
        <w:pStyle w:val="95"/>
        <w:spacing w:line="560" w:lineRule="exact"/>
        <w:ind w:firstLine="640"/>
        <w:rPr>
          <w:rFonts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rPr>
        <w:t>保证金汇入账号：</w:t>
      </w:r>
    </w:p>
    <w:p>
      <w:pPr>
        <w:pStyle w:val="95"/>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户名：</w:t>
      </w:r>
      <w:r>
        <w:rPr>
          <w:rFonts w:hint="eastAsia" w:ascii="仿宋_GB2312" w:hAnsi="仿宋_GB2312" w:eastAsia="仿宋_GB2312" w:cs="仿宋_GB2312"/>
          <w:color w:val="auto"/>
          <w:sz w:val="32"/>
          <w:szCs w:val="32"/>
          <w:highlight w:val="none"/>
          <w:lang w:val="en-US" w:eastAsia="zh-CN"/>
        </w:rPr>
        <w:t>福路通资源循环（福建）有限公司</w:t>
      </w:r>
    </w:p>
    <w:p>
      <w:pPr>
        <w:pStyle w:val="95"/>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开户行：</w:t>
      </w:r>
      <w:r>
        <w:rPr>
          <w:rFonts w:hint="eastAsia" w:ascii="仿宋_GB2312" w:hAnsi="仿宋_GB2312" w:eastAsia="仿宋_GB2312" w:cs="仿宋_GB2312"/>
          <w:color w:val="auto"/>
          <w:sz w:val="32"/>
          <w:szCs w:val="32"/>
          <w:highlight w:val="none"/>
          <w:lang w:val="en-US" w:eastAsia="zh-CN"/>
        </w:rPr>
        <w:t>兴业银行福州华林支行</w:t>
      </w:r>
    </w:p>
    <w:p>
      <w:pPr>
        <w:pStyle w:val="95"/>
        <w:spacing w:line="56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rPr>
        <w:t>账号：</w:t>
      </w:r>
      <w:r>
        <w:rPr>
          <w:rFonts w:hint="eastAsia" w:ascii="仿宋_GB2312" w:hAnsi="仿宋_GB2312" w:eastAsia="仿宋_GB2312" w:cs="仿宋_GB2312"/>
          <w:color w:val="auto"/>
          <w:sz w:val="32"/>
          <w:szCs w:val="32"/>
          <w:highlight w:val="none"/>
          <w:lang w:val="en-US" w:eastAsia="zh-CN"/>
        </w:rPr>
        <w:t>117130100171111113</w:t>
      </w:r>
    </w:p>
    <w:p>
      <w:pPr>
        <w:pStyle w:val="95"/>
        <w:spacing w:line="560" w:lineRule="exact"/>
        <w:ind w:firstLine="640"/>
        <w:rPr>
          <w:rFonts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rPr>
        <w:t>注明用途：</w:t>
      </w:r>
      <w:bookmarkStart w:id="55" w:name="OLE_LINK7"/>
      <w:r>
        <w:rPr>
          <w:rFonts w:hint="eastAsia" w:ascii="仿宋_GB2312" w:hAnsi="仿宋_GB2312" w:eastAsia="仿宋_GB2312" w:cs="仿宋_GB2312"/>
          <w:color w:val="auto"/>
          <w:sz w:val="32"/>
          <w:szCs w:val="32"/>
          <w:highlight w:val="none"/>
          <w:lang w:val="en-US" w:eastAsia="zh-CN"/>
        </w:rPr>
        <w:t>防撞垫原材料</w:t>
      </w:r>
      <w:bookmarkEnd w:id="55"/>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rPr>
        <w:t>保证金</w:t>
      </w:r>
    </w:p>
    <w:p>
      <w:pPr>
        <w:pStyle w:val="95"/>
        <w:spacing w:line="560" w:lineRule="exact"/>
        <w:ind w:firstLine="640"/>
        <w:rPr>
          <w:rFonts w:ascii="仿宋_GB2312" w:hAnsi="仿宋_GB2312" w:eastAsia="仿宋_GB2312" w:cs="仿宋_GB2312"/>
          <w:color w:val="auto"/>
          <w:sz w:val="32"/>
          <w:szCs w:val="32"/>
          <w:highlight w:val="none"/>
          <w:lang w:val="en-US"/>
        </w:rPr>
      </w:pPr>
    </w:p>
    <w:bookmarkEnd w:id="18"/>
    <w:bookmarkEnd w:id="19"/>
    <w:bookmarkEnd w:id="20"/>
    <w:p>
      <w:pPr>
        <w:spacing w:line="560" w:lineRule="exact"/>
        <w:ind w:firstLine="3520" w:firstLineChars="11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福路通资源循环（福建）有限公司</w:t>
      </w:r>
    </w:p>
    <w:p>
      <w:pPr>
        <w:spacing w:line="560" w:lineRule="exact"/>
        <w:ind w:firstLine="5280" w:firstLineChars="1650"/>
        <w:rPr>
          <w:rFonts w:ascii="仿宋_GB2312" w:eastAsia="仿宋_GB2312"/>
          <w:color w:val="auto"/>
          <w:sz w:val="32"/>
          <w:szCs w:val="32"/>
          <w:highlight w:val="none"/>
        </w:rPr>
      </w:pPr>
      <w:r>
        <w:rPr>
          <w:rFonts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eastAsia="仿宋_GB2312"/>
          <w:color w:val="auto"/>
          <w:sz w:val="32"/>
          <w:szCs w:val="32"/>
          <w:highlight w:val="none"/>
        </w:rPr>
        <w:t xml:space="preserve">    </w:t>
      </w: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44"/>
          <w:szCs w:val="44"/>
          <w:highlight w:val="none"/>
        </w:rPr>
      </w:pPr>
      <w:bookmarkStart w:id="56" w:name="_Toc20226"/>
      <w:bookmarkStart w:id="57" w:name="_Toc28027"/>
      <w:bookmarkStart w:id="58" w:name="_Toc6301"/>
      <w:bookmarkStart w:id="59" w:name="_Toc19625"/>
      <w:bookmarkStart w:id="60" w:name="_Toc32672"/>
      <w:bookmarkStart w:id="61" w:name="_Toc7808"/>
      <w:bookmarkStart w:id="62" w:name="_Toc15048"/>
      <w:bookmarkStart w:id="63" w:name="_Toc19464"/>
      <w:bookmarkStart w:id="64" w:name="_Toc25255"/>
      <w:bookmarkStart w:id="65" w:name="_Toc16809"/>
      <w:bookmarkStart w:id="66" w:name="_Toc22393"/>
      <w:bookmarkStart w:id="67" w:name="_Toc7871"/>
      <w:r>
        <w:rPr>
          <w:rFonts w:hint="eastAsia" w:ascii="黑体" w:hAnsi="黑体" w:eastAsia="黑体" w:cs="黑体"/>
          <w:color w:val="auto"/>
          <w:sz w:val="44"/>
          <w:szCs w:val="44"/>
          <w:highlight w:val="none"/>
        </w:rPr>
        <w:t>第二篇  项目采购规格、最高限价及质量要求</w:t>
      </w:r>
      <w:bookmarkEnd w:id="56"/>
      <w:bookmarkEnd w:id="57"/>
      <w:bookmarkEnd w:id="58"/>
      <w:bookmarkEnd w:id="59"/>
      <w:bookmarkEnd w:id="60"/>
      <w:bookmarkEnd w:id="61"/>
      <w:bookmarkEnd w:id="62"/>
      <w:bookmarkEnd w:id="63"/>
      <w:bookmarkEnd w:id="64"/>
      <w:bookmarkEnd w:id="65"/>
      <w:bookmarkEnd w:id="66"/>
      <w:bookmarkEnd w:id="67"/>
    </w:p>
    <w:p>
      <w:pPr>
        <w:keepNext w:val="0"/>
        <w:keepLines w:val="0"/>
        <w:kinsoku/>
        <w:wordWrap/>
        <w:overflowPunct/>
        <w:topLinePunct w:val="0"/>
        <w:autoSpaceDE/>
        <w:autoSpaceDN/>
        <w:bidi w:val="0"/>
        <w:adjustRightInd/>
        <w:spacing w:line="560" w:lineRule="exact"/>
        <w:rPr>
          <w:rFonts w:ascii="仿宋_GB2312" w:eastAsia="仿宋_GB2312"/>
          <w:b/>
          <w:color w:val="auto"/>
          <w:sz w:val="32"/>
          <w:szCs w:val="32"/>
          <w:highlight w:val="none"/>
        </w:rPr>
      </w:pPr>
    </w:p>
    <w:p>
      <w:pPr>
        <w:keepNext w:val="0"/>
        <w:keepLines w:val="0"/>
        <w:kinsoku/>
        <w:wordWrap/>
        <w:overflowPunct/>
        <w:topLinePunct w:val="0"/>
        <w:autoSpaceDE/>
        <w:autoSpaceDN/>
        <w:bidi w:val="0"/>
        <w:adjustRightInd/>
        <w:spacing w:line="560" w:lineRule="exact"/>
        <w:ind w:firstLine="640" w:firstLineChars="200"/>
        <w:outlineLvl w:val="0"/>
        <w:rPr>
          <w:rFonts w:ascii="仿宋_GB2312" w:hAnsi="仿宋_GB2312" w:eastAsia="仿宋_GB2312" w:cs="仿宋_GB2312"/>
          <w:b/>
          <w:color w:val="auto"/>
          <w:sz w:val="32"/>
          <w:szCs w:val="32"/>
          <w:highlight w:val="none"/>
        </w:rPr>
      </w:pPr>
      <w:bookmarkStart w:id="68" w:name="_Toc8437"/>
      <w:bookmarkStart w:id="69" w:name="_Toc4552"/>
      <w:bookmarkStart w:id="70" w:name="_Toc13610"/>
      <w:bookmarkStart w:id="71" w:name="_Toc4491"/>
      <w:bookmarkStart w:id="72" w:name="_Toc6334"/>
      <w:bookmarkStart w:id="73" w:name="_Toc2381"/>
      <w:bookmarkStart w:id="74" w:name="_Toc7388"/>
      <w:r>
        <w:rPr>
          <w:rFonts w:hint="eastAsia" w:ascii="仿宋_GB2312" w:hAnsi="仿宋_GB2312" w:eastAsia="仿宋_GB2312" w:cs="仿宋_GB2312"/>
          <w:b/>
          <w:color w:val="auto"/>
          <w:sz w:val="32"/>
          <w:szCs w:val="32"/>
          <w:highlight w:val="none"/>
        </w:rPr>
        <w:t>一、产品规格、最高限价</w:t>
      </w:r>
      <w:bookmarkEnd w:id="68"/>
      <w:bookmarkEnd w:id="69"/>
      <w:bookmarkEnd w:id="70"/>
      <w:bookmarkEnd w:id="71"/>
      <w:bookmarkEnd w:id="72"/>
      <w:bookmarkEnd w:id="73"/>
      <w:bookmarkEnd w:id="74"/>
    </w:p>
    <w:tbl>
      <w:tblPr>
        <w:tblStyle w:val="31"/>
        <w:tblW w:w="8802" w:type="dxa"/>
        <w:jc w:val="center"/>
        <w:tblLayout w:type="fixed"/>
        <w:tblCellMar>
          <w:top w:w="0" w:type="dxa"/>
          <w:left w:w="108" w:type="dxa"/>
          <w:bottom w:w="0" w:type="dxa"/>
          <w:right w:w="108" w:type="dxa"/>
        </w:tblCellMar>
      </w:tblPr>
      <w:tblGrid>
        <w:gridCol w:w="4200"/>
        <w:gridCol w:w="1416"/>
        <w:gridCol w:w="3186"/>
      </w:tblGrid>
      <w:tr>
        <w:tblPrEx>
          <w:tblCellMar>
            <w:top w:w="0" w:type="dxa"/>
            <w:left w:w="108" w:type="dxa"/>
            <w:bottom w:w="0" w:type="dxa"/>
            <w:right w:w="108" w:type="dxa"/>
          </w:tblCellMar>
        </w:tblPrEx>
        <w:trPr>
          <w:trHeight w:val="567" w:hRule="atLeast"/>
          <w:jc w:val="center"/>
        </w:trPr>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bidi="ar"/>
              </w:rPr>
              <w:t>产品类型</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单位</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每套</w:t>
            </w:r>
            <w:r>
              <w:rPr>
                <w:rFonts w:hint="eastAsia" w:ascii="仿宋_GB2312" w:hAnsi="仿宋_GB2312" w:eastAsia="仿宋_GB2312" w:cs="仿宋_GB2312"/>
                <w:color w:val="auto"/>
                <w:sz w:val="32"/>
                <w:szCs w:val="32"/>
                <w:highlight w:val="none"/>
              </w:rPr>
              <w:t>最高</w:t>
            </w:r>
            <w:r>
              <w:rPr>
                <w:rFonts w:hint="eastAsia" w:ascii="仿宋_GB2312" w:hAnsi="仿宋_GB2312" w:eastAsia="仿宋_GB2312" w:cs="仿宋_GB2312"/>
                <w:color w:val="auto"/>
                <w:sz w:val="32"/>
                <w:szCs w:val="32"/>
                <w:highlight w:val="none"/>
                <w:lang w:val="en-US" w:eastAsia="zh-CN"/>
              </w:rPr>
              <w:t>限制单</w:t>
            </w:r>
            <w:r>
              <w:rPr>
                <w:rFonts w:hint="eastAsia" w:ascii="仿宋_GB2312" w:hAnsi="仿宋_GB2312" w:eastAsia="仿宋_GB2312" w:cs="仿宋_GB2312"/>
                <w:color w:val="auto"/>
                <w:sz w:val="32"/>
                <w:szCs w:val="32"/>
                <w:highlight w:val="none"/>
              </w:rPr>
              <w:t>价</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eastAsia="zh-CN"/>
              </w:rPr>
              <w:t>）</w:t>
            </w:r>
          </w:p>
        </w:tc>
      </w:tr>
      <w:tr>
        <w:tblPrEx>
          <w:tblCellMar>
            <w:top w:w="0" w:type="dxa"/>
            <w:left w:w="108" w:type="dxa"/>
            <w:bottom w:w="0" w:type="dxa"/>
            <w:right w:w="108" w:type="dxa"/>
          </w:tblCellMar>
        </w:tblPrEx>
        <w:trPr>
          <w:trHeight w:val="567" w:hRule="atLeast"/>
          <w:jc w:val="center"/>
        </w:trPr>
        <w:tc>
          <w:tcPr>
            <w:tcW w:w="4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TS级可导向防撞垫原材料</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val="0"/>
                <w:bCs w:val="0"/>
                <w:color w:val="auto"/>
                <w:sz w:val="32"/>
                <w:szCs w:val="32"/>
                <w:highlight w:val="none"/>
                <w:lang w:eastAsia="zh-CN"/>
              </w:rPr>
              <w:t>（不含梯度增强蜂窝部件）</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套</w:t>
            </w:r>
          </w:p>
        </w:tc>
        <w:tc>
          <w:tcPr>
            <w:tcW w:w="31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 </w:t>
            </w:r>
          </w:p>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6950</w:t>
            </w:r>
          </w:p>
        </w:tc>
      </w:tr>
      <w:tr>
        <w:tblPrEx>
          <w:tblCellMar>
            <w:top w:w="0" w:type="dxa"/>
            <w:left w:w="108" w:type="dxa"/>
            <w:bottom w:w="0" w:type="dxa"/>
            <w:right w:w="108" w:type="dxa"/>
          </w:tblCellMar>
        </w:tblPrEx>
        <w:trPr>
          <w:trHeight w:val="567" w:hRule="atLeast"/>
          <w:jc w:val="center"/>
        </w:trPr>
        <w:tc>
          <w:tcPr>
            <w:tcW w:w="88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val="0"/>
                <w:color w:val="auto"/>
                <w:sz w:val="32"/>
                <w:szCs w:val="32"/>
                <w:highlight w:val="none"/>
                <w:lang w:val="en-US"/>
              </w:rPr>
            </w:pPr>
            <w:r>
              <w:rPr>
                <w:rFonts w:hint="default" w:ascii="仿宋_GB2312" w:hAnsi="仿宋_GB2312" w:eastAsia="仿宋_GB2312" w:cs="仿宋_GB2312"/>
                <w:b w:val="0"/>
                <w:bCs w:val="0"/>
                <w:color w:val="auto"/>
                <w:sz w:val="32"/>
                <w:szCs w:val="32"/>
                <w:highlight w:val="none"/>
                <w:lang w:val="en-US"/>
              </w:rPr>
              <w:t>含税总额（元）（增值税率：</w:t>
            </w:r>
            <w:r>
              <w:rPr>
                <w:rFonts w:hint="eastAsia" w:ascii="仿宋_GB2312" w:hAnsi="仿宋_GB2312" w:eastAsia="仿宋_GB2312" w:cs="仿宋_GB2312"/>
                <w:b w:val="0"/>
                <w:bCs w:val="0"/>
                <w:color w:val="auto"/>
                <w:sz w:val="32"/>
                <w:szCs w:val="32"/>
                <w:highlight w:val="none"/>
                <w:lang w:val="en-US" w:eastAsia="zh-CN"/>
              </w:rPr>
              <w:t>13</w:t>
            </w:r>
            <w:r>
              <w:rPr>
                <w:rFonts w:hint="default" w:ascii="仿宋_GB2312" w:hAnsi="仿宋_GB2312" w:eastAsia="仿宋_GB2312" w:cs="仿宋_GB2312"/>
                <w:b w:val="0"/>
                <w:bCs w:val="0"/>
                <w:color w:val="auto"/>
                <w:sz w:val="32"/>
                <w:szCs w:val="32"/>
                <w:highlight w:val="none"/>
                <w:lang w:val="en-US"/>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注：</w:t>
      </w:r>
    </w:p>
    <w:p>
      <w:pPr>
        <w:pStyle w:val="2"/>
        <w:rPr>
          <w:rFonts w:hint="default" w:eastAsia="仿宋_GB2312"/>
          <w:color w:val="auto"/>
          <w:highlight w:val="none"/>
          <w:lang w:val="en-US" w:eastAsia="zh-CN"/>
        </w:rPr>
      </w:pPr>
      <w:r>
        <w:rPr>
          <w:rFonts w:hint="eastAsia" w:ascii="仿宋_GB2312" w:hAnsi="仿宋_GB2312" w:eastAsia="仿宋_GB2312" w:cs="仿宋_GB2312"/>
          <w:bCs/>
          <w:color w:val="auto"/>
          <w:sz w:val="32"/>
          <w:szCs w:val="32"/>
          <w:highlight w:val="none"/>
          <w:lang w:val="en-US" w:eastAsia="zh-CN"/>
        </w:rPr>
        <w:t>1.原材料包含：框架柱、鼻端、可导向波板1、可导向波板2、可导向波板3、前规定端、后固定端、导轨、可导向贴膜，详情请见下表。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bCs/>
          <w:color w:val="auto"/>
          <w:sz w:val="32"/>
          <w:szCs w:val="32"/>
          <w:highlight w:val="none"/>
        </w:rPr>
        <w:t>总采购费用应包括原材料采购完成后运输至宁德古田工厂拼装加工成品</w:t>
      </w:r>
      <w:r>
        <w:rPr>
          <w:rFonts w:hint="eastAsia" w:ascii="仿宋_GB2312" w:hAnsi="仿宋_GB2312" w:eastAsia="仿宋_GB2312" w:cs="仿宋_GB2312"/>
          <w:bCs/>
          <w:color w:val="auto"/>
          <w:sz w:val="32"/>
          <w:szCs w:val="32"/>
          <w:highlight w:val="none"/>
          <w:lang w:val="en-US" w:eastAsia="zh-CN"/>
        </w:rPr>
        <w:t>的费用（新型防撞垫配件梯度增强蜂窝结构部件由本单位提供）、</w:t>
      </w:r>
      <w:r>
        <w:rPr>
          <w:rFonts w:hint="eastAsia" w:ascii="仿宋_GB2312" w:hAnsi="仿宋_GB2312" w:eastAsia="仿宋_GB2312" w:cs="仿宋_GB2312"/>
          <w:bCs/>
          <w:color w:val="auto"/>
          <w:sz w:val="32"/>
          <w:szCs w:val="32"/>
          <w:highlight w:val="none"/>
        </w:rPr>
        <w:t>人工费、食宿费、高速通行费、燃油费、车辆机械设备维修费、</w:t>
      </w:r>
      <w:r>
        <w:rPr>
          <w:rFonts w:hint="eastAsia" w:ascii="仿宋_GB2312" w:hAnsi="仿宋_GB2312" w:eastAsia="仿宋_GB2312" w:cs="仿宋_GB2312"/>
          <w:bCs/>
          <w:color w:val="auto"/>
          <w:sz w:val="32"/>
          <w:szCs w:val="32"/>
          <w:highlight w:val="none"/>
          <w:lang w:val="en-US" w:eastAsia="zh-CN"/>
        </w:rPr>
        <w:t>运输费、</w:t>
      </w:r>
      <w:r>
        <w:rPr>
          <w:rFonts w:hint="eastAsia" w:ascii="仿宋_GB2312" w:hAnsi="仿宋_GB2312" w:eastAsia="仿宋_GB2312" w:cs="仿宋_GB2312"/>
          <w:bCs/>
          <w:color w:val="auto"/>
          <w:sz w:val="32"/>
          <w:szCs w:val="32"/>
          <w:highlight w:val="none"/>
        </w:rPr>
        <w:t>增值税专用发票税费等为完成工作所发生的相关费用，本项目为单价合同，结算数量以实际完成并验收合格数量为准。</w:t>
      </w:r>
      <w:r>
        <w:rPr>
          <w:rFonts w:hint="eastAsia" w:ascii="仿宋_GB2312" w:hAnsi="仿宋_GB2312" w:eastAsia="仿宋_GB2312" w:cs="仿宋_GB2312"/>
          <w:color w:val="auto"/>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单价合同，暂估采购10套，据实结算。</w:t>
      </w:r>
    </w:p>
    <w:p>
      <w:pPr>
        <w:pStyle w:val="22"/>
        <w:rPr>
          <w:rFonts w:hint="eastAsia" w:ascii="仿宋_GB2312" w:hAnsi="仿宋_GB2312" w:eastAsia="仿宋_GB2312" w:cs="仿宋_GB2312"/>
          <w:bCs/>
          <w:color w:val="auto"/>
          <w:kern w:val="2"/>
          <w:sz w:val="32"/>
          <w:szCs w:val="32"/>
          <w:highlight w:val="none"/>
          <w:lang w:val="en-US" w:eastAsia="zh-CN" w:bidi="ar-SA"/>
        </w:rPr>
      </w:pPr>
      <w:r>
        <w:rPr>
          <w:color w:val="auto"/>
          <w:highlight w:val="none"/>
        </w:rPr>
        <w:drawing>
          <wp:anchor distT="0" distB="0" distL="114300" distR="114300" simplePos="0" relativeHeight="251659264" behindDoc="0" locked="0" layoutInCell="1" allowOverlap="1">
            <wp:simplePos x="0" y="0"/>
            <wp:positionH relativeFrom="column">
              <wp:posOffset>1629410</wp:posOffset>
            </wp:positionH>
            <wp:positionV relativeFrom="paragraph">
              <wp:posOffset>-1420495</wp:posOffset>
            </wp:positionV>
            <wp:extent cx="2286000" cy="597408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rot="16200000">
                      <a:off x="0" y="0"/>
                      <a:ext cx="2286000" cy="5974080"/>
                    </a:xfrm>
                    <a:prstGeom prst="rect">
                      <a:avLst/>
                    </a:prstGeom>
                    <a:noFill/>
                    <a:ln>
                      <a:noFill/>
                    </a:ln>
                  </pic:spPr>
                </pic:pic>
              </a:graphicData>
            </a:graphic>
          </wp:anchor>
        </w:drawing>
      </w:r>
      <w:r>
        <w:rPr>
          <w:rFonts w:hint="eastAsia" w:ascii="仿宋_GB2312" w:hAnsi="仿宋_GB2312" w:eastAsia="仿宋_GB2312" w:cs="仿宋_GB2312"/>
          <w:bCs/>
          <w:color w:val="auto"/>
          <w:kern w:val="2"/>
          <w:sz w:val="32"/>
          <w:szCs w:val="32"/>
          <w:highlight w:val="none"/>
          <w:lang w:val="en-US" w:eastAsia="zh-CN" w:bidi="ar-SA"/>
        </w:rPr>
        <w:t>产品示意图：</w:t>
      </w:r>
    </w:p>
    <w:p>
      <w:pPr>
        <w:pStyle w:val="23"/>
        <w:rPr>
          <w:rFonts w:hint="default"/>
          <w:color w:val="auto"/>
          <w:highlight w:val="none"/>
          <w:lang w:val="en-US" w:eastAsia="zh-CN"/>
        </w:rPr>
      </w:pPr>
    </w:p>
    <w:p>
      <w:pPr>
        <w:rPr>
          <w:rFonts w:hint="default"/>
          <w:color w:val="auto"/>
          <w:highlight w:val="none"/>
          <w:lang w:val="en-US" w:eastAsia="zh-CN"/>
        </w:rPr>
      </w:pPr>
    </w:p>
    <w:p>
      <w:pPr>
        <w:rPr>
          <w:rFonts w:hint="eastAsia" w:eastAsia="宋体"/>
          <w:color w:val="auto"/>
          <w:highlight w:val="none"/>
          <w:lang w:eastAsia="zh-CN"/>
        </w:rPr>
      </w:pPr>
    </w:p>
    <w:p>
      <w:pPr>
        <w:pStyle w:val="22"/>
        <w:rPr>
          <w:color w:val="auto"/>
          <w:highlight w:val="none"/>
        </w:rPr>
      </w:pPr>
      <w:r>
        <w:rPr>
          <w:color w:val="auto"/>
          <w:highlight w:val="none"/>
        </w:rPr>
        <w:drawing>
          <wp:inline distT="0" distB="0" distL="114300" distR="114300">
            <wp:extent cx="1943100" cy="2202180"/>
            <wp:effectExtent l="0" t="0" r="762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rot="16200000">
                      <a:off x="0" y="0"/>
                      <a:ext cx="1943100" cy="2202180"/>
                    </a:xfrm>
                    <a:prstGeom prst="rect">
                      <a:avLst/>
                    </a:prstGeom>
                    <a:noFill/>
                    <a:ln>
                      <a:noFill/>
                    </a:ln>
                  </pic:spPr>
                </pic:pic>
              </a:graphicData>
            </a:graphic>
          </wp:inline>
        </w:drawing>
      </w:r>
      <w:r>
        <w:rPr>
          <w:color w:val="auto"/>
          <w:highlight w:val="none"/>
        </w:rPr>
        <w:drawing>
          <wp:inline distT="0" distB="0" distL="114300" distR="114300">
            <wp:extent cx="3916680" cy="2065020"/>
            <wp:effectExtent l="0" t="0" r="0" b="762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3916680" cy="2065020"/>
                    </a:xfrm>
                    <a:prstGeom prst="rect">
                      <a:avLst/>
                    </a:prstGeom>
                    <a:noFill/>
                    <a:ln>
                      <a:noFill/>
                    </a:ln>
                  </pic:spPr>
                </pic:pic>
              </a:graphicData>
            </a:graphic>
          </wp:inline>
        </w:drawing>
      </w:r>
      <w:r>
        <w:rPr>
          <w:color w:val="auto"/>
          <w:highlight w:val="none"/>
        </w:rPr>
        <w:drawing>
          <wp:inline distT="0" distB="0" distL="114300" distR="114300">
            <wp:extent cx="1645920" cy="3025140"/>
            <wp:effectExtent l="0" t="0" r="762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rot="16200000">
                      <a:off x="0" y="0"/>
                      <a:ext cx="1645920" cy="3025140"/>
                    </a:xfrm>
                    <a:prstGeom prst="rect">
                      <a:avLst/>
                    </a:prstGeom>
                    <a:noFill/>
                    <a:ln>
                      <a:noFill/>
                    </a:ln>
                  </pic:spPr>
                </pic:pic>
              </a:graphicData>
            </a:graphic>
          </wp:inline>
        </w:drawing>
      </w:r>
    </w:p>
    <w:p>
      <w:pPr>
        <w:pStyle w:val="23"/>
        <w:rPr>
          <w:rFonts w:hint="default" w:eastAsia="宋体"/>
          <w:b/>
          <w:bCs/>
          <w:color w:val="auto"/>
          <w:highlight w:val="none"/>
          <w:lang w:val="en-US" w:eastAsia="zh-CN"/>
        </w:rPr>
      </w:pPr>
      <w:r>
        <w:rPr>
          <w:rFonts w:hint="eastAsia"/>
          <w:b/>
          <w:bCs/>
          <w:color w:val="auto"/>
          <w:highlight w:val="none"/>
          <w:lang w:val="en-US" w:eastAsia="zh-CN"/>
        </w:rPr>
        <w:t>注：产品为专利特有产品，产品结构、所属材料性质、质量、规格必须按招标人提供的设计图纸要求生产。</w:t>
      </w:r>
    </w:p>
    <w:p>
      <w:pPr>
        <w:spacing w:line="560" w:lineRule="exact"/>
        <w:ind w:firstLine="640" w:firstLineChars="200"/>
        <w:outlineLvl w:val="0"/>
        <w:rPr>
          <w:rFonts w:ascii="仿宋_GB2312" w:hAnsi="仿宋_GB2312" w:eastAsia="仿宋_GB2312" w:cs="仿宋_GB2312"/>
          <w:b/>
          <w:color w:val="auto"/>
          <w:sz w:val="32"/>
          <w:szCs w:val="32"/>
          <w:highlight w:val="none"/>
        </w:rPr>
      </w:pPr>
      <w:bookmarkStart w:id="75" w:name="_Toc23419"/>
      <w:bookmarkStart w:id="76" w:name="_Toc6780"/>
      <w:bookmarkStart w:id="77" w:name="_Toc30536"/>
      <w:bookmarkStart w:id="78" w:name="_Toc16939"/>
      <w:bookmarkStart w:id="79" w:name="_Toc27355"/>
      <w:bookmarkStart w:id="80" w:name="_Toc19709"/>
      <w:bookmarkStart w:id="81" w:name="_Toc24133"/>
      <w:r>
        <w:rPr>
          <w:rFonts w:hint="eastAsia" w:ascii="仿宋_GB2312" w:hAnsi="仿宋_GB2312" w:eastAsia="仿宋_GB2312" w:cs="仿宋_GB2312"/>
          <w:b/>
          <w:color w:val="auto"/>
          <w:sz w:val="32"/>
          <w:szCs w:val="32"/>
          <w:highlight w:val="none"/>
        </w:rPr>
        <w:t>二、产品质量要求</w:t>
      </w:r>
      <w:bookmarkEnd w:id="75"/>
      <w:bookmarkEnd w:id="76"/>
      <w:bookmarkEnd w:id="77"/>
      <w:bookmarkEnd w:id="78"/>
      <w:bookmarkEnd w:id="79"/>
      <w:bookmarkEnd w:id="80"/>
      <w:bookmarkEnd w:id="81"/>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（一）供应商严格按照</w:t>
      </w:r>
      <w:bookmarkStart w:id="82" w:name="OLE_LINK6"/>
      <w:r>
        <w:rPr>
          <w:rFonts w:hint="eastAsia" w:ascii="仿宋_GB2312" w:hAnsi="仿宋_GB2312" w:eastAsia="仿宋_GB2312" w:cs="仿宋_GB2312"/>
          <w:color w:val="auto"/>
          <w:sz w:val="32"/>
          <w:szCs w:val="32"/>
          <w:highlight w:val="none"/>
        </w:rPr>
        <w:t>采购人</w:t>
      </w:r>
      <w:bookmarkEnd w:id="82"/>
      <w:r>
        <w:rPr>
          <w:rFonts w:hint="eastAsia" w:ascii="仿宋_GB2312" w:hAnsi="仿宋_GB2312" w:eastAsia="仿宋_GB2312" w:cs="仿宋_GB2312"/>
          <w:color w:val="auto"/>
          <w:sz w:val="32"/>
          <w:szCs w:val="32"/>
          <w:highlight w:val="none"/>
        </w:rPr>
        <w:t>要求生产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按设计图纸技术质量指标要求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，货物到达地点后，采购人应对货物进行验收，验收时，如发现有质量不合格，数量不符的，应保持原状通知采购人检测核实。如规格数量与合同不符，供应商无条件退换货。供应商要做好</w:t>
      </w:r>
      <w:r>
        <w:rPr>
          <w:rFonts w:hint="eastAsia" w:ascii="仿宋_GB2312" w:hAnsi="仿宋_GB2312" w:eastAsia="仿宋_GB2312" w:cs="仿宋_GB2312"/>
          <w:color w:val="auto"/>
          <w:sz w:val="32"/>
          <w:szCs w:val="32"/>
          <w:highlight w:val="none"/>
          <w:lang w:val="en-US" w:eastAsia="zh-CN"/>
        </w:rPr>
        <w:t>TS可导向防撞垫原材料</w:t>
      </w:r>
      <w:r>
        <w:rPr>
          <w:rFonts w:hint="eastAsia" w:ascii="仿宋_GB2312" w:hAnsi="仿宋_GB2312" w:eastAsia="仿宋_GB2312" w:cs="仿宋_GB2312"/>
          <w:color w:val="auto"/>
          <w:sz w:val="32"/>
          <w:szCs w:val="32"/>
          <w:highlight w:val="none"/>
        </w:rPr>
        <w:t>装卸、安装、调试过程中的安全工作，并对此产生的相关安全责任负全责。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color w:val="auto"/>
          <w:sz w:val="32"/>
          <w:szCs w:val="32"/>
          <w:highlight w:val="none"/>
          <w:lang w:val="en-US" w:eastAsia="zh-CN"/>
        </w:rPr>
      </w:pPr>
      <w:bookmarkStart w:id="83" w:name="_Toc8749"/>
      <w:bookmarkStart w:id="84" w:name="_Toc15939"/>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w:t>
      </w:r>
      <w:bookmarkEnd w:id="83"/>
      <w:bookmarkEnd w:id="84"/>
      <w:r>
        <w:rPr>
          <w:rFonts w:hint="eastAsia" w:ascii="仿宋_GB2312" w:eastAsia="仿宋_GB2312" w:cs="Times New Roman"/>
          <w:b w:val="0"/>
          <w:bCs w:val="0"/>
          <w:color w:val="auto"/>
          <w:sz w:val="32"/>
          <w:szCs w:val="32"/>
          <w:highlight w:val="none"/>
          <w:lang w:val="en-US" w:eastAsia="zh-CN"/>
        </w:rPr>
        <w:t>TS级可导向防撞垫所有配件及材料等级质量参数</w:t>
      </w:r>
      <w:r>
        <w:rPr>
          <w:rFonts w:hint="eastAsia" w:ascii="仿宋_GB2312" w:hAnsi="Times New Roman" w:eastAsia="仿宋_GB2312" w:cs="Times New Roman"/>
          <w:b w:val="0"/>
          <w:bCs w:val="0"/>
          <w:color w:val="auto"/>
          <w:sz w:val="32"/>
          <w:szCs w:val="32"/>
          <w:highlight w:val="none"/>
          <w:lang w:val="en-US" w:eastAsia="zh-CN"/>
        </w:rPr>
        <w:t>应满足图纸要求，同时</w:t>
      </w:r>
      <w:r>
        <w:rPr>
          <w:rFonts w:hint="default" w:ascii="仿宋_GB2312" w:hAnsi="Times New Roman" w:eastAsia="仿宋_GB2312" w:cs="Times New Roman"/>
          <w:b w:val="0"/>
          <w:bCs w:val="0"/>
          <w:color w:val="auto"/>
          <w:sz w:val="32"/>
          <w:szCs w:val="32"/>
          <w:highlight w:val="none"/>
          <w:lang w:val="en-US" w:eastAsia="zh-CN"/>
        </w:rPr>
        <w:t>应按规范要求进行涂层防腐处理</w:t>
      </w:r>
      <w:r>
        <w:rPr>
          <w:rFonts w:hint="eastAsia" w:ascii="仿宋_GB2312" w:eastAsia="仿宋_GB2312" w:cs="Times New Roman"/>
          <w:b w:val="0"/>
          <w:bCs w:val="0"/>
          <w:color w:val="auto"/>
          <w:sz w:val="32"/>
          <w:szCs w:val="32"/>
          <w:highlight w:val="none"/>
          <w:lang w:val="en-US" w:eastAsia="zh-CN"/>
        </w:rPr>
        <w:t>。</w:t>
      </w:r>
    </w:p>
    <w:p>
      <w:pPr>
        <w:spacing w:line="560" w:lineRule="exact"/>
        <w:ind w:firstLine="420" w:firstLineChars="200"/>
        <w:rPr>
          <w:rFonts w:eastAsia="仿宋_GB2312"/>
          <w:color w:val="auto"/>
          <w:highlight w:val="none"/>
        </w:rPr>
        <w:sectPr>
          <w:footerReference r:id="rId3" w:type="default"/>
          <w:pgSz w:w="11906" w:h="16838"/>
          <w:pgMar w:top="1440" w:right="1417" w:bottom="1440" w:left="1587" w:header="851" w:footer="992" w:gutter="0"/>
          <w:cols w:space="720" w:num="1"/>
          <w:docGrid w:type="linesAndChars" w:linePitch="317" w:charSpace="204"/>
        </w:sect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44"/>
          <w:szCs w:val="44"/>
          <w:highlight w:val="none"/>
        </w:rPr>
      </w:pPr>
      <w:bookmarkStart w:id="85" w:name="_Toc14725"/>
      <w:bookmarkStart w:id="86" w:name="_Toc18504"/>
      <w:bookmarkStart w:id="87" w:name="_Toc296"/>
      <w:bookmarkStart w:id="88" w:name="_Toc32538"/>
      <w:bookmarkStart w:id="89" w:name="_Toc31783"/>
      <w:bookmarkStart w:id="90" w:name="_Toc14893"/>
      <w:bookmarkStart w:id="91" w:name="_Toc21277"/>
      <w:bookmarkStart w:id="92" w:name="_Toc24713"/>
      <w:bookmarkStart w:id="93" w:name="_Toc7355"/>
      <w:bookmarkStart w:id="94" w:name="_Toc12890"/>
      <w:bookmarkStart w:id="95" w:name="_Toc29443"/>
      <w:bookmarkStart w:id="96" w:name="_Toc25750"/>
      <w:bookmarkStart w:id="97" w:name="_Toc19180"/>
      <w:bookmarkStart w:id="98" w:name="_Toc24722"/>
      <w:r>
        <w:rPr>
          <w:rFonts w:hint="eastAsia" w:ascii="黑体" w:hAnsi="黑体" w:eastAsia="黑体" w:cs="黑体"/>
          <w:color w:val="auto"/>
          <w:sz w:val="44"/>
          <w:szCs w:val="44"/>
          <w:highlight w:val="none"/>
        </w:rPr>
        <w:t>第三篇  供应商须知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560" w:lineRule="exact"/>
        <w:ind w:firstLine="643" w:firstLineChars="200"/>
        <w:rPr>
          <w:rFonts w:ascii="仿宋_GB2312" w:eastAsia="仿宋_GB2312"/>
          <w:b/>
          <w:color w:val="auto"/>
          <w:sz w:val="32"/>
          <w:szCs w:val="32"/>
          <w:highlight w:val="none"/>
        </w:rPr>
      </w:pPr>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99" w:name="_Toc3437"/>
      <w:bookmarkStart w:id="100" w:name="_Toc6819"/>
      <w:bookmarkStart w:id="101" w:name="_Toc26561"/>
      <w:bookmarkStart w:id="102" w:name="_Toc8816"/>
      <w:bookmarkStart w:id="103" w:name="_Toc8943"/>
      <w:bookmarkStart w:id="104" w:name="_Toc23396"/>
      <w:bookmarkStart w:id="105" w:name="_Toc6770"/>
      <w:r>
        <w:rPr>
          <w:rFonts w:hint="eastAsia" w:ascii="仿宋_GB2312" w:hAnsi="仿宋_GB2312" w:eastAsia="仿宋_GB2312" w:cs="仿宋_GB2312"/>
          <w:b/>
          <w:color w:val="auto"/>
          <w:sz w:val="32"/>
          <w:szCs w:val="32"/>
          <w:highlight w:val="none"/>
        </w:rPr>
        <w:t>一、资金来源</w:t>
      </w:r>
      <w:bookmarkEnd w:id="99"/>
      <w:bookmarkEnd w:id="100"/>
      <w:bookmarkEnd w:id="101"/>
      <w:bookmarkEnd w:id="102"/>
      <w:bookmarkEnd w:id="103"/>
      <w:bookmarkEnd w:id="104"/>
      <w:bookmarkEnd w:id="105"/>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资金来源：</w:t>
      </w: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企业自筹资金。</w:t>
      </w:r>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06" w:name="_Toc32750"/>
      <w:bookmarkStart w:id="107" w:name="_Toc31811"/>
      <w:bookmarkStart w:id="108" w:name="_Toc3369"/>
      <w:bookmarkStart w:id="109" w:name="_Toc18846"/>
      <w:bookmarkStart w:id="110" w:name="_Toc26034"/>
      <w:bookmarkStart w:id="111" w:name="_Toc13171"/>
      <w:bookmarkStart w:id="112" w:name="_Toc14753"/>
      <w:r>
        <w:rPr>
          <w:rFonts w:hint="eastAsia" w:ascii="仿宋_GB2312" w:hAnsi="仿宋_GB2312" w:eastAsia="仿宋_GB2312" w:cs="仿宋_GB2312"/>
          <w:b/>
          <w:color w:val="auto"/>
          <w:sz w:val="32"/>
          <w:szCs w:val="32"/>
          <w:highlight w:val="none"/>
        </w:rPr>
        <w:t>二、供应商的合格条件</w:t>
      </w:r>
      <w:bookmarkEnd w:id="106"/>
      <w:bookmarkEnd w:id="107"/>
      <w:bookmarkEnd w:id="108"/>
      <w:bookmarkEnd w:id="109"/>
      <w:bookmarkEnd w:id="110"/>
      <w:bookmarkEnd w:id="111"/>
      <w:bookmarkEnd w:id="112"/>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（一）本项目采用资格后审方式</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（二）资格条件要求</w:t>
      </w:r>
    </w:p>
    <w:tbl>
      <w:tblPr>
        <w:tblStyle w:val="3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营业执照</w:t>
            </w:r>
          </w:p>
        </w:tc>
        <w:tc>
          <w:tcPr>
            <w:tcW w:w="6606" w:type="dxa"/>
            <w:vAlign w:val="center"/>
          </w:tcPr>
          <w:p>
            <w:pPr>
              <w:keepNext/>
              <w:keepLines/>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供应商应提供有效的依法合法设立的独立法人企业的营业执照复印件并加盖供应商公章，未提供或提供不全的响应文件将被否决。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法定代表人授权书或法定代表人身份证明</w:t>
            </w:r>
          </w:p>
        </w:tc>
        <w:tc>
          <w:tcPr>
            <w:tcW w:w="6606" w:type="dxa"/>
            <w:vAlign w:val="center"/>
          </w:tcPr>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供应商应提供法定代表人授权书或法定代表人身份证明，未提供或提供不全的响应文件将被否决。</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注：供应商应按照采购文件格式规定提供。</w:t>
            </w:r>
          </w:p>
        </w:tc>
      </w:tr>
    </w:tbl>
    <w:p>
      <w:pPr>
        <w:spacing w:line="560" w:lineRule="exact"/>
        <w:ind w:firstLine="643" w:firstLineChars="200"/>
        <w:outlineLvl w:val="0"/>
        <w:rPr>
          <w:rFonts w:ascii="仿宋_GB2312" w:hAnsi="仿宋_GB2312" w:eastAsia="仿宋_GB2312" w:cs="仿宋_GB2312"/>
          <w:bCs/>
          <w:color w:val="auto"/>
          <w:sz w:val="32"/>
          <w:szCs w:val="32"/>
          <w:highlight w:val="none"/>
        </w:rPr>
      </w:pPr>
      <w:bookmarkStart w:id="113" w:name="_Toc13808"/>
      <w:bookmarkStart w:id="114" w:name="_Toc9403"/>
      <w:bookmarkStart w:id="115" w:name="_Toc30593"/>
      <w:bookmarkStart w:id="116" w:name="_Toc8181"/>
      <w:bookmarkStart w:id="117" w:name="_Toc7335"/>
      <w:bookmarkStart w:id="118" w:name="_Toc4294"/>
      <w:bookmarkStart w:id="119" w:name="_Toc5610"/>
      <w:r>
        <w:rPr>
          <w:rFonts w:hint="eastAsia" w:ascii="仿宋_GB2312" w:hAnsi="仿宋_GB2312" w:eastAsia="仿宋_GB2312" w:cs="仿宋_GB2312"/>
          <w:b/>
          <w:color w:val="auto"/>
          <w:sz w:val="32"/>
          <w:szCs w:val="32"/>
          <w:highlight w:val="none"/>
        </w:rPr>
        <w:t>三、询价采购日程安排</w:t>
      </w:r>
      <w:bookmarkEnd w:id="113"/>
      <w:bookmarkEnd w:id="114"/>
      <w:bookmarkEnd w:id="115"/>
      <w:bookmarkEnd w:id="116"/>
      <w:bookmarkEnd w:id="117"/>
      <w:bookmarkEnd w:id="118"/>
      <w:bookmarkEnd w:id="119"/>
    </w:p>
    <w:tbl>
      <w:tblPr>
        <w:tblStyle w:val="3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32"/>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询价采购人</w:t>
            </w:r>
          </w:p>
        </w:tc>
        <w:tc>
          <w:tcPr>
            <w:tcW w:w="5361" w:type="dxa"/>
            <w:vAlign w:val="center"/>
          </w:tcPr>
          <w:p>
            <w:pPr>
              <w:spacing w:line="560" w:lineRule="exact"/>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福路通资源循环（福建）有限公司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5361" w:type="dxa"/>
            <w:vAlign w:val="center"/>
          </w:tcPr>
          <w:p>
            <w:pPr>
              <w:spacing w:line="560" w:lineRule="exact"/>
              <w:jc w:val="center"/>
              <w:rPr>
                <w:rFonts w:hint="eastAsia" w:ascii="仿宋_GB2312" w:hAnsi="仿宋_GB2312" w:eastAsia="微软雅黑"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TS级可导向防撞垫原材料（不含梯度增强蜂窝部件）</w:t>
            </w:r>
            <w:r>
              <w:rPr>
                <w:rFonts w:hint="eastAsia" w:ascii="仿宋_GB2312" w:hAnsi="仿宋_GB2312" w:eastAsia="仿宋_GB2312" w:cs="仿宋_GB2312"/>
                <w:color w:val="auto"/>
                <w:sz w:val="32"/>
                <w:szCs w:val="32"/>
                <w:highlight w:val="none"/>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询价采购方式</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4</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询价采购文件领取</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详见询价采购公告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5</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现场查看时间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bookmarkStart w:id="120" w:name="OLE_LINK11"/>
            <w:r>
              <w:rPr>
                <w:rFonts w:hint="eastAsia" w:ascii="仿宋_GB2312" w:hAnsi="仿宋_GB2312" w:eastAsia="仿宋_GB2312" w:cs="仿宋_GB2312"/>
                <w:color w:val="auto"/>
                <w:sz w:val="32"/>
                <w:szCs w:val="32"/>
                <w:highlight w:val="none"/>
              </w:rPr>
              <w:t>响应保证金</w:t>
            </w:r>
            <w:bookmarkEnd w:id="120"/>
            <w:r>
              <w:rPr>
                <w:rFonts w:hint="eastAsia" w:ascii="仿宋_GB2312" w:hAnsi="仿宋_GB2312" w:eastAsia="仿宋_GB2312" w:cs="仿宋_GB2312"/>
                <w:color w:val="auto"/>
                <w:sz w:val="32"/>
                <w:szCs w:val="32"/>
                <w:highlight w:val="none"/>
              </w:rPr>
              <w:t>及缴纳方式</w:t>
            </w:r>
          </w:p>
        </w:tc>
        <w:tc>
          <w:tcPr>
            <w:tcW w:w="5361" w:type="dxa"/>
            <w:vAlign w:val="center"/>
          </w:tcPr>
          <w:p>
            <w:pPr>
              <w:pStyle w:val="95"/>
              <w:spacing w:line="560" w:lineRule="exact"/>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本项目响应保证金额度为</w:t>
            </w:r>
            <w:r>
              <w:rPr>
                <w:rFonts w:hint="eastAsia" w:ascii="仿宋_GB2312" w:hAnsi="仿宋_GB2312" w:eastAsia="仿宋_GB2312" w:cs="仿宋_GB2312"/>
                <w:color w:val="auto"/>
                <w:sz w:val="32"/>
                <w:szCs w:val="32"/>
                <w:highlight w:val="none"/>
                <w:lang w:val="en-US" w:eastAsia="zh-CN"/>
              </w:rPr>
              <w:t>10000（壹万元整）</w:t>
            </w:r>
            <w:r>
              <w:rPr>
                <w:rFonts w:hint="eastAsia" w:ascii="仿宋_GB2312" w:hAnsi="仿宋_GB2312" w:eastAsia="仿宋_GB2312" w:cs="仿宋_GB2312"/>
                <w:color w:val="auto"/>
                <w:sz w:val="32"/>
                <w:szCs w:val="32"/>
                <w:highlight w:val="none"/>
                <w:lang w:val="en-US"/>
              </w:rPr>
              <w:t>，供应商须采用转账方式汇入采购人指定账户，未按要求缴纳保证金的不得参与本项目采购活动。</w:t>
            </w:r>
          </w:p>
          <w:p>
            <w:pPr>
              <w:pStyle w:val="95"/>
              <w:spacing w:line="560" w:lineRule="exact"/>
              <w:ind w:firstLine="0" w:firstLineChars="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rPr>
              <w:t>保证金缴纳账户信息如下：</w:t>
            </w:r>
          </w:p>
          <w:p>
            <w:pPr>
              <w:pStyle w:val="95"/>
              <w:spacing w:line="560" w:lineRule="exact"/>
              <w:ind w:firstLine="64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rPr>
              <w:t>户名：</w:t>
            </w:r>
            <w:r>
              <w:rPr>
                <w:rFonts w:hint="eastAsia" w:ascii="仿宋_GB2312" w:hAnsi="仿宋_GB2312" w:eastAsia="仿宋_GB2312" w:cs="仿宋_GB2312"/>
                <w:b/>
                <w:bCs/>
                <w:color w:val="auto"/>
                <w:sz w:val="32"/>
                <w:szCs w:val="32"/>
                <w:highlight w:val="none"/>
                <w:lang w:eastAsia="zh-CN"/>
              </w:rPr>
              <w:t>福路通资源循环（福建）有限公司</w:t>
            </w:r>
          </w:p>
          <w:p>
            <w:pPr>
              <w:pStyle w:val="95"/>
              <w:spacing w:line="560" w:lineRule="exact"/>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rPr>
              <w:t>开户行：</w:t>
            </w:r>
            <w:r>
              <w:rPr>
                <w:rFonts w:hint="eastAsia" w:ascii="仿宋_GB2312" w:hAnsi="仿宋_GB2312" w:eastAsia="仿宋_GB2312" w:cs="仿宋_GB2312"/>
                <w:b/>
                <w:bCs/>
                <w:color w:val="auto"/>
                <w:sz w:val="32"/>
                <w:szCs w:val="32"/>
                <w:highlight w:val="none"/>
                <w:lang w:val="en-US" w:eastAsia="zh-CN"/>
              </w:rPr>
              <w:t>兴业银行福州华林支行</w:t>
            </w:r>
          </w:p>
          <w:p>
            <w:pPr>
              <w:pStyle w:val="95"/>
              <w:spacing w:line="560" w:lineRule="exact"/>
              <w:ind w:firstLine="64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rPr>
              <w:t>账号：</w:t>
            </w:r>
            <w:r>
              <w:rPr>
                <w:rFonts w:hint="eastAsia" w:ascii="仿宋_GB2312" w:hAnsi="仿宋_GB2312" w:eastAsia="仿宋_GB2312" w:cs="仿宋_GB2312"/>
                <w:b/>
                <w:bCs/>
                <w:color w:val="auto"/>
                <w:sz w:val="32"/>
                <w:szCs w:val="32"/>
                <w:highlight w:val="none"/>
                <w:lang w:val="en-US" w:eastAsia="zh-CN"/>
              </w:rPr>
              <w:t>117130100171111113</w:t>
            </w:r>
          </w:p>
          <w:p>
            <w:pPr>
              <w:pStyle w:val="95"/>
              <w:spacing w:line="560" w:lineRule="exact"/>
              <w:ind w:firstLine="0" w:firstLineChars="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rPr>
              <w:t>注明用途：</w:t>
            </w:r>
            <w:r>
              <w:rPr>
                <w:rFonts w:hint="eastAsia" w:ascii="仿宋_GB2312" w:hAnsi="仿宋_GB2312" w:eastAsia="仿宋_GB2312" w:cs="仿宋_GB2312"/>
                <w:b/>
                <w:bCs/>
                <w:color w:val="auto"/>
                <w:sz w:val="32"/>
                <w:szCs w:val="32"/>
                <w:highlight w:val="none"/>
                <w:lang w:val="en-US" w:eastAsia="zh-CN"/>
              </w:rPr>
              <w:t>防撞垫原材料响应</w:t>
            </w:r>
            <w:r>
              <w:rPr>
                <w:rFonts w:hint="eastAsia" w:ascii="仿宋_GB2312" w:hAnsi="仿宋_GB2312" w:eastAsia="仿宋_GB2312" w:cs="仿宋_GB2312"/>
                <w:b/>
                <w:bCs/>
                <w:color w:val="auto"/>
                <w:sz w:val="32"/>
                <w:szCs w:val="32"/>
                <w:highlight w:val="none"/>
                <w:lang w:val="en-US"/>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bookmarkStart w:id="121" w:name="OLE_LINK4"/>
            <w:r>
              <w:rPr>
                <w:rFonts w:hint="eastAsia" w:ascii="仿宋_GB2312" w:hAnsi="仿宋_GB2312" w:eastAsia="仿宋_GB2312" w:cs="仿宋_GB2312"/>
                <w:color w:val="auto"/>
                <w:sz w:val="32"/>
                <w:szCs w:val="32"/>
                <w:highlight w:val="none"/>
              </w:rPr>
              <w:t>保证金</w:t>
            </w:r>
            <w:bookmarkEnd w:id="121"/>
            <w:r>
              <w:rPr>
                <w:rFonts w:hint="eastAsia" w:ascii="仿宋_GB2312" w:hAnsi="仿宋_GB2312" w:eastAsia="仿宋_GB2312" w:cs="仿宋_GB2312"/>
                <w:color w:val="auto"/>
                <w:sz w:val="32"/>
                <w:szCs w:val="32"/>
                <w:highlight w:val="none"/>
              </w:rPr>
              <w:t>缴纳时间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日17</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00之前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答疑时间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p>
        </w:tc>
        <w:tc>
          <w:tcPr>
            <w:tcW w:w="2860" w:type="dxa"/>
            <w:vAlign w:val="center"/>
          </w:tcPr>
          <w:p>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递交响应文件</w:t>
            </w:r>
          </w:p>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响应文件评审时间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1</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合同签订时间</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成交通知书下达后7日内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2</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响应文件投递地点</w:t>
            </w:r>
          </w:p>
        </w:tc>
        <w:tc>
          <w:tcPr>
            <w:tcW w:w="5361" w:type="dxa"/>
            <w:vAlign w:val="center"/>
          </w:tcPr>
          <w:p>
            <w:pPr>
              <w:spacing w:line="56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福建省福州市鼓楼区东水路18号交通运输厅26楼</w:t>
            </w:r>
            <w:r>
              <w:rPr>
                <w:rFonts w:hint="eastAsia" w:ascii="仿宋_GB2312" w:hAnsi="仿宋_GB2312" w:eastAsia="仿宋_GB2312" w:cs="仿宋_GB2312"/>
                <w:color w:val="auto"/>
                <w:sz w:val="32"/>
                <w:szCs w:val="32"/>
                <w:highlight w:val="none"/>
                <w:lang w:eastAsia="zh-CN"/>
              </w:rPr>
              <w:t>福路通资源循环（福建）有限公司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交货时间、地点</w:t>
            </w:r>
          </w:p>
        </w:tc>
        <w:tc>
          <w:tcPr>
            <w:tcW w:w="5361" w:type="dxa"/>
            <w:vAlign w:val="center"/>
          </w:tcPr>
          <w:p>
            <w:pPr>
              <w:spacing w:line="560" w:lineRule="exact"/>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交货时间：由询价采购人提前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天通知，供应商按询价采购人通知的</w:t>
            </w:r>
            <w:r>
              <w:rPr>
                <w:rFonts w:hint="eastAsia" w:ascii="仿宋_GB2312" w:hAnsi="仿宋_GB2312" w:eastAsia="仿宋_GB2312" w:cs="仿宋_GB2312"/>
                <w:color w:val="auto"/>
                <w:sz w:val="32"/>
                <w:szCs w:val="32"/>
                <w:highlight w:val="none"/>
                <w:lang w:val="en-US" w:eastAsia="zh-CN"/>
              </w:rPr>
              <w:t>时间到交付TS可导向防撞垫原材料并拼装好产品</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交货地点：宁德古田工厂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4</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成交办法</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最低评审价法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5</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成交结果公示媒介</w:t>
            </w:r>
          </w:p>
        </w:tc>
        <w:tc>
          <w:tcPr>
            <w:tcW w:w="5361" w:type="dxa"/>
            <w:vAlign w:val="center"/>
          </w:tcPr>
          <w:p>
            <w:pPr>
              <w:wordWrap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本项目成交结果公示在</w:t>
            </w: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公示栏及福建省高速公路集团有限公司（www.fjgsgl.com），各供应商自行查看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6</w:t>
            </w:r>
          </w:p>
        </w:tc>
        <w:tc>
          <w:tcPr>
            <w:tcW w:w="2860"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响应有效期</w:t>
            </w:r>
          </w:p>
        </w:tc>
        <w:tc>
          <w:tcPr>
            <w:tcW w:w="5361" w:type="dxa"/>
            <w:vAlign w:val="center"/>
          </w:tcPr>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自响应文件递交截止时间起90日</w:t>
            </w:r>
          </w:p>
        </w:tc>
      </w:tr>
    </w:tbl>
    <w:p>
      <w:pPr>
        <w:spacing w:line="560" w:lineRule="exact"/>
        <w:ind w:firstLine="640" w:firstLineChars="200"/>
        <w:outlineLvl w:val="0"/>
        <w:rPr>
          <w:rFonts w:ascii="仿宋_GB2312" w:hAnsi="仿宋_GB2312" w:eastAsia="仿宋_GB2312" w:cs="仿宋_GB2312"/>
          <w:bCs/>
          <w:color w:val="auto"/>
          <w:sz w:val="32"/>
          <w:szCs w:val="32"/>
          <w:highlight w:val="none"/>
        </w:rPr>
      </w:pPr>
      <w:bookmarkStart w:id="122" w:name="_Toc15287"/>
      <w:bookmarkStart w:id="123" w:name="_Toc2277"/>
      <w:bookmarkStart w:id="124" w:name="_Toc8687"/>
      <w:bookmarkStart w:id="125" w:name="_Toc26966"/>
      <w:bookmarkStart w:id="126" w:name="_Toc16231"/>
      <w:bookmarkStart w:id="127" w:name="_Toc5209"/>
      <w:bookmarkStart w:id="128" w:name="_Toc8853"/>
      <w:r>
        <w:rPr>
          <w:rFonts w:hint="eastAsia" w:ascii="仿宋_GB2312" w:hAnsi="仿宋_GB2312" w:eastAsia="仿宋_GB2312" w:cs="仿宋_GB2312"/>
          <w:bCs/>
          <w:color w:val="auto"/>
          <w:sz w:val="32"/>
          <w:szCs w:val="32"/>
          <w:highlight w:val="none"/>
        </w:rPr>
        <w:t>四、询价采购文件</w:t>
      </w:r>
      <w:bookmarkEnd w:id="122"/>
      <w:bookmarkEnd w:id="123"/>
      <w:bookmarkEnd w:id="124"/>
      <w:bookmarkEnd w:id="125"/>
      <w:bookmarkEnd w:id="126"/>
      <w:bookmarkEnd w:id="127"/>
      <w:bookmarkEnd w:id="128"/>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（一）询价采购文件由询价采购公告；项目产品规格及质量要求；供应商须知；响应文件要求；评审方法；合同主要条款、合同格式；响应文件格式共七部分组成。</w:t>
      </w:r>
    </w:p>
    <w:p>
      <w:pPr>
        <w:spacing w:line="560" w:lineRule="exact"/>
        <w:ind w:firstLine="640" w:firstLineChars="200"/>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32"/>
          <w:szCs w:val="32"/>
          <w:highlight w:val="none"/>
        </w:rPr>
        <w:t>（二）询价采购文件的解释权归</w:t>
      </w: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所有。</w:t>
      </w:r>
      <w:bookmarkStart w:id="129" w:name="_Toc7624"/>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44"/>
          <w:szCs w:val="44"/>
          <w:highlight w:val="none"/>
        </w:rPr>
      </w:pPr>
      <w:bookmarkStart w:id="130" w:name="_Toc10107"/>
      <w:bookmarkStart w:id="131" w:name="_Toc20120"/>
      <w:bookmarkStart w:id="132" w:name="_Toc26461"/>
      <w:bookmarkStart w:id="133" w:name="_Toc11939"/>
      <w:bookmarkStart w:id="134" w:name="_Toc19783"/>
      <w:bookmarkStart w:id="135" w:name="_Toc2833"/>
      <w:bookmarkStart w:id="136" w:name="_Toc14387"/>
      <w:bookmarkStart w:id="137" w:name="_Toc28946"/>
      <w:bookmarkStart w:id="138" w:name="_Toc13013"/>
      <w:bookmarkStart w:id="139" w:name="_Toc22954"/>
      <w:bookmarkStart w:id="140" w:name="_Toc2930"/>
      <w:r>
        <w:rPr>
          <w:rFonts w:hint="eastAsia" w:ascii="黑体" w:hAnsi="黑体" w:eastAsia="黑体" w:cs="黑体"/>
          <w:color w:val="auto"/>
          <w:sz w:val="44"/>
          <w:szCs w:val="44"/>
          <w:highlight w:val="none"/>
        </w:rPr>
        <w:t>第四篇  响应文件要求</w:t>
      </w:r>
      <w:bookmarkEnd w:id="129"/>
      <w:bookmarkEnd w:id="130"/>
      <w:bookmarkEnd w:id="131"/>
      <w:bookmarkEnd w:id="132"/>
      <w:bookmarkEnd w:id="133"/>
      <w:bookmarkEnd w:id="134"/>
      <w:bookmarkEnd w:id="135"/>
      <w:bookmarkEnd w:id="136"/>
      <w:bookmarkEnd w:id="137"/>
      <w:bookmarkEnd w:id="138"/>
      <w:bookmarkEnd w:id="139"/>
      <w:bookmarkEnd w:id="140"/>
      <w:bookmarkStart w:id="141" w:name="_Toc409439680"/>
      <w:bookmarkStart w:id="142" w:name="_Toc508286667"/>
    </w:p>
    <w:p>
      <w:pPr>
        <w:spacing w:line="560" w:lineRule="exact"/>
        <w:ind w:firstLine="643" w:firstLineChars="200"/>
        <w:rPr>
          <w:rFonts w:ascii="仿宋_GB2312" w:hAnsi="仿宋_GB2312" w:eastAsia="仿宋_GB2312" w:cs="仿宋_GB2312"/>
          <w:b/>
          <w:color w:val="auto"/>
          <w:sz w:val="32"/>
          <w:szCs w:val="32"/>
          <w:highlight w:val="none"/>
        </w:rPr>
      </w:pPr>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43" w:name="_Toc3394"/>
      <w:bookmarkStart w:id="144" w:name="_Toc17529"/>
      <w:bookmarkStart w:id="145" w:name="_Toc19694"/>
      <w:bookmarkStart w:id="146" w:name="_Toc12755"/>
      <w:bookmarkStart w:id="147" w:name="_Toc14659"/>
      <w:bookmarkStart w:id="148" w:name="_Toc2546"/>
      <w:bookmarkStart w:id="149" w:name="_Toc770"/>
      <w:r>
        <w:rPr>
          <w:rFonts w:hint="eastAsia" w:ascii="仿宋_GB2312" w:hAnsi="仿宋_GB2312" w:eastAsia="仿宋_GB2312" w:cs="仿宋_GB2312"/>
          <w:b/>
          <w:color w:val="auto"/>
          <w:sz w:val="32"/>
          <w:szCs w:val="32"/>
          <w:highlight w:val="none"/>
        </w:rPr>
        <w:t>一、文件要求</w:t>
      </w:r>
      <w:bookmarkEnd w:id="141"/>
      <w:bookmarkEnd w:id="142"/>
      <w:bookmarkEnd w:id="143"/>
      <w:bookmarkEnd w:id="144"/>
      <w:bookmarkEnd w:id="145"/>
      <w:bookmarkEnd w:id="146"/>
      <w:bookmarkEnd w:id="147"/>
      <w:bookmarkEnd w:id="148"/>
      <w:bookmarkEnd w:id="149"/>
      <w:r>
        <w:rPr>
          <w:rFonts w:ascii="仿宋_GB2312" w:hAnsi="仿宋_GB2312" w:eastAsia="仿宋_GB2312" w:cs="仿宋_GB2312"/>
          <w:b/>
          <w:color w:val="auto"/>
          <w:sz w:val="32"/>
          <w:szCs w:val="32"/>
          <w:highlight w:val="none"/>
        </w:rPr>
        <w:t xml:space="preserve"> </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（一）供应商应当按照询价采购文件的要求编制响应文件，供应商应满足询价采购文件提出的要求和条件。</w:t>
      </w:r>
      <w:bookmarkStart w:id="150" w:name="_Toc508286668"/>
      <w:bookmarkStart w:id="151" w:name="_Toc409439681"/>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52" w:name="_Toc19647"/>
      <w:bookmarkStart w:id="153" w:name="_Toc9559"/>
      <w:bookmarkStart w:id="154" w:name="_Toc5206"/>
      <w:bookmarkStart w:id="155" w:name="_Toc11543"/>
      <w:bookmarkStart w:id="156" w:name="_Toc9833"/>
      <w:bookmarkStart w:id="157" w:name="_Toc29213"/>
      <w:bookmarkStart w:id="158" w:name="_Toc31702"/>
      <w:r>
        <w:rPr>
          <w:rFonts w:hint="eastAsia" w:ascii="仿宋_GB2312" w:hAnsi="仿宋_GB2312" w:eastAsia="仿宋_GB2312" w:cs="仿宋_GB2312"/>
          <w:b/>
          <w:color w:val="auto"/>
          <w:sz w:val="32"/>
          <w:szCs w:val="32"/>
          <w:highlight w:val="none"/>
        </w:rPr>
        <w:t>二、供应商响应文件的组成</w:t>
      </w:r>
      <w:bookmarkEnd w:id="150"/>
      <w:bookmarkEnd w:id="151"/>
      <w:bookmarkEnd w:id="152"/>
      <w:bookmarkEnd w:id="153"/>
      <w:bookmarkEnd w:id="154"/>
      <w:bookmarkEnd w:id="155"/>
      <w:bookmarkEnd w:id="156"/>
      <w:bookmarkEnd w:id="157"/>
      <w:bookmarkEnd w:id="158"/>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响应文件由以下部分和供应商所做的一切有效补充、修改和承诺等文件组成，具体见第七篇“响应文件格式”。它包括：</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（一）报价函；</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（二）报价表；</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（三）供应商法定代表人身份证明书；</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（四）供应商法定代表人授权委托书；</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（五）资质文件。</w:t>
      </w:r>
    </w:p>
    <w:p>
      <w:pPr>
        <w:spacing w:line="560" w:lineRule="exact"/>
        <w:ind w:firstLine="640" w:firstLineChars="200"/>
        <w:rPr>
          <w:rFonts w:ascii="仿宋_GB2312" w:hAnsi="仿宋_GB2312" w:eastAsia="仿宋_GB2312" w:cs="仿宋_GB2312"/>
          <w:color w:val="auto"/>
          <w:sz w:val="32"/>
          <w:szCs w:val="32"/>
          <w:highlight w:val="none"/>
        </w:rPr>
      </w:pPr>
      <w:bookmarkStart w:id="159" w:name="_Toc7340"/>
      <w:bookmarkStart w:id="160" w:name="_Toc24212"/>
      <w:r>
        <w:rPr>
          <w:rFonts w:hint="eastAsia" w:ascii="仿宋_GB2312" w:hAnsi="仿宋_GB2312" w:eastAsia="仿宋_GB2312" w:cs="仿宋_GB2312"/>
          <w:color w:val="auto"/>
          <w:sz w:val="32"/>
          <w:szCs w:val="32"/>
          <w:highlight w:val="none"/>
        </w:rPr>
        <w:t>1.经有效年检的企业法人营业执照复印件（加盖供应商公章）；</w:t>
      </w:r>
      <w:bookmarkEnd w:id="159"/>
      <w:bookmarkEnd w:id="160"/>
    </w:p>
    <w:p>
      <w:pPr>
        <w:spacing w:line="56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供应商应响应询价采购文件并且符合第三篇“第二条 供应商的合格条件”规定的资格条件。</w:t>
      </w:r>
    </w:p>
    <w:p>
      <w:pPr>
        <w:spacing w:line="560" w:lineRule="exact"/>
        <w:ind w:firstLine="640" w:firstLineChars="200"/>
        <w:rPr>
          <w:rFonts w:ascii="仿宋_GB2312" w:hAnsi="仿宋_GB2312" w:eastAsia="仿宋_GB2312" w:cs="仿宋_GB2312"/>
          <w:color w:val="auto"/>
          <w:sz w:val="32"/>
          <w:szCs w:val="32"/>
          <w:highlight w:val="none"/>
        </w:rPr>
      </w:pPr>
      <w:bookmarkStart w:id="161" w:name="_Toc5871"/>
      <w:bookmarkStart w:id="162" w:name="_Toc409439682"/>
      <w:bookmarkStart w:id="163" w:name="_Toc508286669"/>
      <w:r>
        <w:rPr>
          <w:rFonts w:hint="eastAsia" w:ascii="仿宋_GB2312" w:hAnsi="仿宋_GB2312" w:eastAsia="仿宋_GB2312" w:cs="仿宋_GB2312"/>
          <w:color w:val="auto"/>
          <w:sz w:val="32"/>
          <w:szCs w:val="32"/>
          <w:highlight w:val="none"/>
        </w:rPr>
        <w:t>（六）风险承诺书。</w:t>
      </w:r>
      <w:bookmarkEnd w:id="161"/>
    </w:p>
    <w:bookmarkEnd w:id="162"/>
    <w:bookmarkEnd w:id="163"/>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64" w:name="_Toc508286670"/>
      <w:bookmarkStart w:id="165" w:name="_Toc20621"/>
      <w:bookmarkStart w:id="166" w:name="_Toc2075"/>
      <w:bookmarkStart w:id="167" w:name="_Toc409439684"/>
      <w:bookmarkStart w:id="168" w:name="_Toc7716"/>
      <w:bookmarkStart w:id="169" w:name="_Toc8650"/>
      <w:bookmarkStart w:id="170" w:name="_Toc8596"/>
      <w:bookmarkStart w:id="171" w:name="_Toc13896"/>
      <w:bookmarkStart w:id="172" w:name="_Toc8909"/>
      <w:r>
        <w:rPr>
          <w:rFonts w:hint="eastAsia" w:ascii="仿宋_GB2312" w:hAnsi="仿宋_GB2312" w:eastAsia="仿宋_GB2312" w:cs="仿宋_GB2312"/>
          <w:b/>
          <w:color w:val="auto"/>
          <w:sz w:val="32"/>
          <w:szCs w:val="32"/>
          <w:highlight w:val="none"/>
        </w:rPr>
        <w:t>三、响应文件的份数和签署</w:t>
      </w:r>
      <w:bookmarkEnd w:id="164"/>
      <w:bookmarkEnd w:id="165"/>
      <w:bookmarkEnd w:id="166"/>
      <w:bookmarkEnd w:id="167"/>
      <w:bookmarkEnd w:id="168"/>
      <w:bookmarkEnd w:id="169"/>
      <w:bookmarkEnd w:id="170"/>
      <w:bookmarkEnd w:id="171"/>
      <w:bookmarkEnd w:id="172"/>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（一）响应文件一式两份，其中正本一份，副本一份，均由法定代表人或其授权代表人签署并盖公章，副本可以用正本的完整复印件。正本与副本不一致时，以正本为准。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（二）若供应商对响应文件的错处</w:t>
      </w:r>
      <w:r>
        <w:rPr>
          <w:rFonts w:hint="eastAsia" w:ascii="仿宋_GB2312" w:hAnsi="仿宋_GB2312" w:eastAsia="仿宋_GB2312" w:cs="仿宋_GB2312"/>
          <w:color w:val="auto"/>
          <w:sz w:val="32"/>
          <w:szCs w:val="32"/>
          <w:highlight w:val="none"/>
          <w:lang w:eastAsia="zh-CN"/>
        </w:rPr>
        <w:t>做必要</w:t>
      </w:r>
      <w:r>
        <w:rPr>
          <w:rFonts w:hint="eastAsia" w:ascii="仿宋_GB2312" w:hAnsi="仿宋_GB2312" w:eastAsia="仿宋_GB2312" w:cs="仿宋_GB2312"/>
          <w:color w:val="auto"/>
          <w:sz w:val="32"/>
          <w:szCs w:val="32"/>
          <w:highlight w:val="none"/>
        </w:rPr>
        <w:t>修改，则应在修改处由法人代表或授权代表签字确认。</w:t>
      </w:r>
    </w:p>
    <w:p>
      <w:pPr>
        <w:spacing w:line="560" w:lineRule="exact"/>
        <w:ind w:firstLine="640" w:firstLineChars="200"/>
        <w:rPr>
          <w:rFonts w:ascii="仿宋_GB2312" w:hAnsi="仿宋_GB2312" w:eastAsia="仿宋_GB2312" w:cs="仿宋_GB2312"/>
          <w:color w:val="auto"/>
          <w:sz w:val="32"/>
          <w:szCs w:val="32"/>
          <w:highlight w:val="none"/>
        </w:rPr>
      </w:pPr>
      <w:bookmarkStart w:id="173" w:name="_Toc16047"/>
      <w:bookmarkStart w:id="174" w:name="_Toc1740"/>
      <w:r>
        <w:rPr>
          <w:rFonts w:hint="eastAsia" w:ascii="仿宋_GB2312" w:hAnsi="仿宋_GB2312" w:eastAsia="仿宋_GB2312" w:cs="仿宋_GB2312"/>
          <w:color w:val="auto"/>
          <w:sz w:val="32"/>
          <w:szCs w:val="32"/>
          <w:highlight w:val="none"/>
        </w:rPr>
        <w:t>（三）电报、电话、传真形式的响应文件概不接受。</w:t>
      </w:r>
      <w:bookmarkEnd w:id="173"/>
      <w:bookmarkEnd w:id="174"/>
      <w:bookmarkStart w:id="175" w:name="_Toc409439685"/>
      <w:bookmarkStart w:id="176" w:name="_Toc508286671"/>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77" w:name="_Toc12414"/>
      <w:bookmarkStart w:id="178" w:name="_Toc24741"/>
      <w:bookmarkStart w:id="179" w:name="_Toc9896"/>
      <w:bookmarkStart w:id="180" w:name="_Toc13149"/>
      <w:bookmarkStart w:id="181" w:name="_Toc32171"/>
      <w:bookmarkStart w:id="182" w:name="_Toc23976"/>
      <w:bookmarkStart w:id="183" w:name="_Toc29421"/>
      <w:r>
        <w:rPr>
          <w:rFonts w:hint="eastAsia" w:ascii="仿宋_GB2312" w:hAnsi="仿宋_GB2312" w:eastAsia="仿宋_GB2312" w:cs="仿宋_GB2312"/>
          <w:b/>
          <w:color w:val="auto"/>
          <w:sz w:val="32"/>
          <w:szCs w:val="32"/>
          <w:highlight w:val="none"/>
        </w:rPr>
        <w:t>四、报价</w:t>
      </w:r>
      <w:bookmarkEnd w:id="175"/>
      <w:bookmarkEnd w:id="176"/>
      <w:bookmarkEnd w:id="177"/>
      <w:bookmarkEnd w:id="178"/>
      <w:bookmarkEnd w:id="179"/>
      <w:bookmarkEnd w:id="180"/>
      <w:bookmarkEnd w:id="181"/>
      <w:bookmarkEnd w:id="182"/>
      <w:bookmarkEnd w:id="183"/>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（一）供应商应严格按照《响应文件格式》的“响应文件”格式认真填写。</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（二）供应商的报价为一次性报价。即在报价有效期内报价价格固定不变。</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（三）供应商可在最高控制价以下自由报价，应一次性报出不得更改的价格。供应商所报价格包括</w:t>
      </w:r>
      <w:r>
        <w:rPr>
          <w:rFonts w:hint="eastAsia" w:ascii="仿宋_GB2312" w:hAnsi="仿宋_GB2312" w:eastAsia="仿宋_GB2312" w:cs="仿宋_GB2312"/>
          <w:color w:val="auto"/>
          <w:sz w:val="32"/>
          <w:szCs w:val="32"/>
          <w:highlight w:val="none"/>
          <w:lang w:val="en-US" w:eastAsia="zh-CN"/>
        </w:rPr>
        <w:t>TS可导向防撞垫原材料及拼装成品</w:t>
      </w:r>
      <w:r>
        <w:rPr>
          <w:rFonts w:hint="eastAsia" w:ascii="仿宋_GB2312" w:hAnsi="仿宋_GB2312" w:eastAsia="仿宋_GB2312" w:cs="仿宋_GB2312"/>
          <w:color w:val="auto"/>
          <w:sz w:val="32"/>
          <w:szCs w:val="32"/>
          <w:highlight w:val="none"/>
        </w:rPr>
        <w:t>所需的一切费用。供应商所报的总金额超过询价采购人最高询价采购控制总金额的，响应文件作相应无效处理。</w:t>
      </w:r>
      <w:bookmarkStart w:id="184" w:name="_Toc271711745"/>
      <w:bookmarkStart w:id="185" w:name="_Toc409439686"/>
      <w:bookmarkStart w:id="186" w:name="_Toc508286672"/>
    </w:p>
    <w:bookmarkEnd w:id="184"/>
    <w:bookmarkEnd w:id="185"/>
    <w:bookmarkEnd w:id="186"/>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187" w:name="_Toc25432"/>
      <w:bookmarkStart w:id="188" w:name="_Toc32433"/>
      <w:bookmarkStart w:id="189" w:name="_Toc17344"/>
      <w:bookmarkStart w:id="190" w:name="_Toc409439687"/>
      <w:bookmarkStart w:id="191" w:name="_Toc30053"/>
      <w:bookmarkStart w:id="192" w:name="_Toc508286673"/>
      <w:bookmarkStart w:id="193" w:name="_Toc28405"/>
      <w:bookmarkStart w:id="194" w:name="_Toc26394"/>
      <w:bookmarkStart w:id="195" w:name="_Toc25615"/>
      <w:r>
        <w:rPr>
          <w:rFonts w:hint="eastAsia" w:ascii="仿宋_GB2312" w:hAnsi="仿宋_GB2312" w:eastAsia="仿宋_GB2312" w:cs="仿宋_GB2312"/>
          <w:b/>
          <w:color w:val="auto"/>
          <w:sz w:val="32"/>
          <w:szCs w:val="32"/>
          <w:highlight w:val="none"/>
        </w:rPr>
        <w:t>五、响应文件的递交</w:t>
      </w:r>
      <w:bookmarkEnd w:id="187"/>
      <w:bookmarkEnd w:id="188"/>
      <w:bookmarkEnd w:id="189"/>
      <w:bookmarkEnd w:id="190"/>
      <w:bookmarkEnd w:id="191"/>
      <w:bookmarkEnd w:id="192"/>
      <w:bookmarkEnd w:id="193"/>
      <w:bookmarkEnd w:id="194"/>
      <w:bookmarkEnd w:id="195"/>
    </w:p>
    <w:p>
      <w:pPr>
        <w:spacing w:line="560" w:lineRule="exact"/>
        <w:ind w:firstLine="640" w:firstLineChars="200"/>
        <w:outlineLvl w:val="1"/>
        <w:rPr>
          <w:rFonts w:ascii="仿宋_GB2312" w:hAnsi="仿宋_GB2312" w:eastAsia="仿宋_GB2312" w:cs="仿宋_GB2312"/>
          <w:color w:val="auto"/>
          <w:sz w:val="32"/>
          <w:szCs w:val="32"/>
          <w:highlight w:val="none"/>
        </w:rPr>
      </w:pPr>
      <w:bookmarkStart w:id="196" w:name="_Toc30594"/>
      <w:bookmarkStart w:id="197" w:name="_Toc25743"/>
      <w:r>
        <w:rPr>
          <w:rFonts w:hint="eastAsia" w:ascii="仿宋_GB2312" w:hAnsi="仿宋_GB2312" w:eastAsia="仿宋_GB2312" w:cs="仿宋_GB2312"/>
          <w:color w:val="auto"/>
          <w:sz w:val="32"/>
          <w:szCs w:val="32"/>
          <w:highlight w:val="none"/>
        </w:rPr>
        <w:t>（一）响应文件的密封与标记</w:t>
      </w:r>
      <w:bookmarkEnd w:id="196"/>
      <w:bookmarkEnd w:id="197"/>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响应文件的封面应注明“正本”“副本”字样，一并装入密封袋密封，</w:t>
      </w:r>
      <w:r>
        <w:rPr>
          <w:rFonts w:hint="eastAsia" w:ascii="仿宋_GB2312" w:hAnsi="仿宋_GB2312" w:eastAsia="仿宋_GB2312" w:cs="仿宋_GB2312"/>
          <w:b/>
          <w:color w:val="auto"/>
          <w:sz w:val="32"/>
          <w:szCs w:val="32"/>
          <w:highlight w:val="none"/>
        </w:rPr>
        <w:t>密封袋上注明项目名称</w:t>
      </w:r>
      <w:r>
        <w:rPr>
          <w:rFonts w:hint="eastAsia" w:ascii="仿宋_GB2312" w:hAnsi="仿宋_GB2312" w:eastAsia="仿宋_GB2312" w:cs="仿宋_GB2312"/>
          <w:color w:val="auto"/>
          <w:sz w:val="32"/>
          <w:szCs w:val="32"/>
          <w:highlight w:val="none"/>
        </w:rPr>
        <w:t>。密封袋的封口处须加盖密封章。</w:t>
      </w:r>
    </w:p>
    <w:p>
      <w:pPr>
        <w:spacing w:line="560" w:lineRule="exact"/>
        <w:ind w:firstLine="640" w:firstLineChars="200"/>
        <w:outlineLvl w:val="1"/>
        <w:rPr>
          <w:rFonts w:ascii="仿宋_GB2312" w:hAnsi="仿宋_GB2312" w:eastAsia="仿宋_GB2312" w:cs="仿宋_GB2312"/>
          <w:color w:val="auto"/>
          <w:sz w:val="32"/>
          <w:szCs w:val="32"/>
          <w:highlight w:val="none"/>
        </w:rPr>
      </w:pPr>
      <w:bookmarkStart w:id="198" w:name="_Toc12001"/>
      <w:bookmarkStart w:id="199" w:name="_Toc1617"/>
      <w:r>
        <w:rPr>
          <w:rFonts w:hint="eastAsia" w:ascii="仿宋_GB2312" w:hAnsi="仿宋_GB2312" w:eastAsia="仿宋_GB2312" w:cs="仿宋_GB2312"/>
          <w:color w:val="auto"/>
          <w:sz w:val="32"/>
          <w:szCs w:val="32"/>
          <w:highlight w:val="none"/>
        </w:rPr>
        <w:t>（二）响应文件的递交</w:t>
      </w:r>
      <w:bookmarkEnd w:id="198"/>
      <w:bookmarkEnd w:id="199"/>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供应商响应文件应于询价采购文件要求的递交响应文件截止时间前现场递交，响应文件的递交地点与时间见第三篇供应商须知。</w:t>
      </w:r>
      <w:bookmarkStart w:id="200" w:name="_Toc409439688"/>
      <w:bookmarkStart w:id="201" w:name="_Toc508286674"/>
    </w:p>
    <w:p>
      <w:pPr>
        <w:spacing w:line="560" w:lineRule="exact"/>
        <w:ind w:firstLine="643" w:firstLineChars="200"/>
        <w:outlineLvl w:val="0"/>
        <w:rPr>
          <w:rFonts w:ascii="仿宋_GB2312" w:hAnsi="仿宋_GB2312" w:eastAsia="仿宋_GB2312" w:cs="仿宋_GB2312"/>
          <w:b/>
          <w:color w:val="auto"/>
          <w:sz w:val="32"/>
          <w:szCs w:val="32"/>
          <w:highlight w:val="none"/>
        </w:rPr>
      </w:pPr>
      <w:bookmarkStart w:id="202" w:name="_Toc22265"/>
      <w:bookmarkStart w:id="203" w:name="_Toc29970"/>
      <w:bookmarkStart w:id="204" w:name="_Toc19444"/>
      <w:bookmarkStart w:id="205" w:name="_Toc6057"/>
      <w:bookmarkStart w:id="206" w:name="_Toc30532"/>
      <w:bookmarkStart w:id="207" w:name="_Toc17564"/>
      <w:bookmarkStart w:id="208" w:name="_Toc30223"/>
      <w:r>
        <w:rPr>
          <w:rFonts w:hint="eastAsia" w:ascii="仿宋_GB2312" w:hAnsi="仿宋_GB2312" w:eastAsia="仿宋_GB2312" w:cs="仿宋_GB2312"/>
          <w:b/>
          <w:color w:val="auto"/>
          <w:sz w:val="32"/>
          <w:szCs w:val="32"/>
          <w:highlight w:val="none"/>
        </w:rPr>
        <w:t>六、无效</w:t>
      </w:r>
      <w:bookmarkEnd w:id="200"/>
      <w:r>
        <w:rPr>
          <w:rFonts w:hint="eastAsia" w:ascii="仿宋_GB2312" w:hAnsi="仿宋_GB2312" w:eastAsia="仿宋_GB2312" w:cs="仿宋_GB2312"/>
          <w:b/>
          <w:color w:val="auto"/>
          <w:sz w:val="32"/>
          <w:szCs w:val="32"/>
          <w:highlight w:val="none"/>
        </w:rPr>
        <w:t>报价</w:t>
      </w:r>
      <w:bookmarkEnd w:id="201"/>
      <w:bookmarkEnd w:id="202"/>
      <w:bookmarkEnd w:id="203"/>
      <w:bookmarkEnd w:id="204"/>
      <w:bookmarkEnd w:id="205"/>
      <w:bookmarkEnd w:id="206"/>
      <w:bookmarkEnd w:id="207"/>
      <w:bookmarkEnd w:id="208"/>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评审小组评审时，供应商响应文件出现下列情况之一者，应为无效报价：</w:t>
      </w:r>
    </w:p>
    <w:p>
      <w:pPr>
        <w:spacing w:line="560" w:lineRule="exact"/>
        <w:ind w:firstLine="640" w:firstLineChars="200"/>
        <w:rPr>
          <w:rFonts w:ascii="仿宋_GB2312" w:hAnsi="仿宋_GB2312" w:eastAsia="仿宋_GB2312" w:cs="仿宋_GB2312"/>
          <w:color w:val="auto"/>
          <w:sz w:val="32"/>
          <w:szCs w:val="32"/>
          <w:highlight w:val="none"/>
        </w:rPr>
      </w:pPr>
      <w:bookmarkStart w:id="209" w:name="_Toc17547"/>
      <w:bookmarkStart w:id="210" w:name="_Toc31362"/>
      <w:r>
        <w:rPr>
          <w:rFonts w:hint="eastAsia" w:ascii="仿宋_GB2312" w:hAnsi="仿宋_GB2312" w:eastAsia="仿宋_GB2312" w:cs="仿宋_GB2312"/>
          <w:color w:val="auto"/>
          <w:sz w:val="32"/>
          <w:szCs w:val="32"/>
          <w:highlight w:val="none"/>
        </w:rPr>
        <w:t>（一）供应商不具备询价采购文件规定的资格要求的。</w:t>
      </w:r>
      <w:bookmarkEnd w:id="209"/>
      <w:bookmarkEnd w:id="210"/>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（二）供应商未按照询价采购文件要求由供应商法定代表人或授权委托人签字，或未按询价采购文件要求的格式加盖公章的（</w:t>
      </w:r>
      <w:r>
        <w:rPr>
          <w:rFonts w:hint="eastAsia" w:ascii="仿宋_GB2312" w:eastAsia="仿宋_GB2312"/>
          <w:color w:val="auto"/>
          <w:sz w:val="32"/>
          <w:szCs w:val="32"/>
          <w:highlight w:val="none"/>
          <w:lang w:eastAsia="zh-CN"/>
        </w:rPr>
        <w:t>应逐页盖章并加盖骑缝章，及需签字部分</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（三）响应文件出现多个报价方案或报价的。</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（四）响应报价超出询价采购文件规定的询价采购控制价的。</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（五）响应有效期、交货时间等商务条款不能满足询价采购文件要求的。</w:t>
      </w:r>
    </w:p>
    <w:p>
      <w:pPr>
        <w:spacing w:line="560" w:lineRule="exact"/>
        <w:ind w:firstLine="640" w:firstLineChars="200"/>
        <w:rPr>
          <w:rFonts w:ascii="仿宋_GB2312" w:hAnsi="仿宋_GB2312" w:eastAsia="仿宋_GB2312" w:cs="仿宋_GB2312"/>
          <w:color w:val="auto"/>
          <w:sz w:val="32"/>
          <w:szCs w:val="32"/>
          <w:highlight w:val="none"/>
        </w:rPr>
      </w:pPr>
      <w:bookmarkStart w:id="211" w:name="_Toc3304"/>
      <w:bookmarkStart w:id="212" w:name="_Toc14743"/>
      <w:r>
        <w:rPr>
          <w:rFonts w:hint="eastAsia" w:ascii="仿宋_GB2312" w:hAnsi="仿宋_GB2312" w:eastAsia="仿宋_GB2312" w:cs="仿宋_GB2312"/>
          <w:color w:val="auto"/>
          <w:sz w:val="32"/>
          <w:szCs w:val="32"/>
          <w:highlight w:val="none"/>
        </w:rPr>
        <w:t>（六）报价产品不符合必须强制执行的国家标准的。</w:t>
      </w:r>
      <w:bookmarkEnd w:id="211"/>
      <w:bookmarkEnd w:id="212"/>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（七）响应文件含有违反国家法律法规的内容，或附有询价采购人不能接受的条件的。</w:t>
      </w:r>
    </w:p>
    <w:p>
      <w:pPr>
        <w:pageBreakBefore/>
        <w:spacing w:line="560" w:lineRule="exact"/>
        <w:jc w:val="center"/>
        <w:outlineLvl w:val="0"/>
        <w:rPr>
          <w:rFonts w:hint="eastAsia" w:ascii="黑体" w:hAnsi="黑体" w:eastAsia="黑体" w:cs="黑体"/>
          <w:color w:val="auto"/>
          <w:sz w:val="44"/>
          <w:szCs w:val="44"/>
          <w:highlight w:val="none"/>
        </w:rPr>
      </w:pPr>
      <w:bookmarkStart w:id="213" w:name="_Toc25362"/>
      <w:bookmarkStart w:id="214" w:name="_Toc27561"/>
      <w:bookmarkStart w:id="215" w:name="_Toc30156"/>
      <w:bookmarkStart w:id="216" w:name="_Toc15908"/>
      <w:bookmarkStart w:id="217" w:name="_Toc31747"/>
      <w:bookmarkStart w:id="218" w:name="_Toc187"/>
      <w:bookmarkStart w:id="219" w:name="_Toc12087"/>
      <w:bookmarkStart w:id="220" w:name="_Toc23564"/>
      <w:bookmarkStart w:id="221" w:name="_Toc29924"/>
      <w:bookmarkStart w:id="222" w:name="_Toc24320"/>
      <w:bookmarkStart w:id="223" w:name="_Toc9116"/>
      <w:bookmarkStart w:id="224" w:name="_Toc30901"/>
      <w:bookmarkStart w:id="225" w:name="_Toc8805"/>
      <w:bookmarkStart w:id="226" w:name="_Toc1821"/>
      <w:bookmarkStart w:id="227" w:name="_Toc122750639"/>
      <w:bookmarkStart w:id="228" w:name="_Toc122257617"/>
      <w:r>
        <w:rPr>
          <w:rFonts w:hint="eastAsia" w:ascii="黑体" w:hAnsi="黑体" w:eastAsia="黑体" w:cs="黑体"/>
          <w:color w:val="auto"/>
          <w:sz w:val="44"/>
          <w:szCs w:val="44"/>
          <w:highlight w:val="none"/>
        </w:rPr>
        <w:t>第五篇  评审办法</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Start w:id="229" w:name="_Toc508286676"/>
      <w:bookmarkStart w:id="230" w:name="_Toc409439690"/>
    </w:p>
    <w:p>
      <w:pPr>
        <w:spacing w:line="560" w:lineRule="exact"/>
        <w:ind w:firstLine="643" w:firstLineChars="200"/>
        <w:rPr>
          <w:rFonts w:ascii="仿宋_GB2312" w:eastAsia="仿宋_GB2312"/>
          <w:b/>
          <w:color w:val="auto"/>
          <w:sz w:val="32"/>
          <w:szCs w:val="32"/>
          <w:highlight w:val="none"/>
        </w:rPr>
      </w:pPr>
    </w:p>
    <w:p>
      <w:pPr>
        <w:spacing w:line="560" w:lineRule="exact"/>
        <w:ind w:firstLine="643" w:firstLineChars="200"/>
        <w:outlineLvl w:val="0"/>
        <w:rPr>
          <w:rFonts w:ascii="仿宋_GB2312" w:eastAsia="仿宋_GB2312"/>
          <w:b/>
          <w:color w:val="auto"/>
          <w:sz w:val="32"/>
          <w:szCs w:val="32"/>
          <w:highlight w:val="none"/>
        </w:rPr>
      </w:pPr>
      <w:bookmarkStart w:id="231" w:name="_Toc30040"/>
      <w:bookmarkStart w:id="232" w:name="_Toc4306"/>
      <w:bookmarkStart w:id="233" w:name="_Toc4305"/>
      <w:bookmarkStart w:id="234" w:name="_Toc16695"/>
      <w:bookmarkStart w:id="235" w:name="_Toc15450"/>
      <w:bookmarkStart w:id="236" w:name="_Toc8468"/>
      <w:bookmarkStart w:id="237" w:name="_Toc28055"/>
      <w:r>
        <w:rPr>
          <w:rFonts w:hint="eastAsia" w:ascii="仿宋_GB2312" w:eastAsia="仿宋_GB2312"/>
          <w:b/>
          <w:color w:val="auto"/>
          <w:sz w:val="32"/>
          <w:szCs w:val="32"/>
          <w:highlight w:val="none"/>
        </w:rPr>
        <w:t>一、响应文件开封</w:t>
      </w:r>
      <w:bookmarkEnd w:id="231"/>
      <w:bookmarkEnd w:id="232"/>
      <w:bookmarkEnd w:id="233"/>
      <w:bookmarkEnd w:id="234"/>
      <w:bookmarkEnd w:id="235"/>
      <w:bookmarkEnd w:id="236"/>
      <w:bookmarkEnd w:id="237"/>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（一）响应文件开封在询价采购文件中“询价采购公告”确定的时间和地点公开进行。</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（二）询价采购人可以视询价采购具体情况，延长询价采购截止时间和开封时间，但至少应当在询价采购文件要求提交响应文件的截止时间三日前，将变更时间书面通知所有报价供应商。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（三）评审会由询价采购人主持，询价采购人、供应商或有关方面代表参加。</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（四）响应文件开封时，由询价采购方或供应商推选的代表检查响应文件的密封情况，经确认无误后，由询价采购方工作人员当众拆封宣读，宣读供应商名称、正本“报价表”内容，以及其他主要内容并记录。</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（五）响应文件开封过程由询价采购人指定专人负责记录，并存档备查。</w:t>
      </w:r>
    </w:p>
    <w:p>
      <w:pPr>
        <w:spacing w:line="560" w:lineRule="exact"/>
        <w:ind w:firstLine="643" w:firstLineChars="200"/>
        <w:outlineLvl w:val="0"/>
        <w:rPr>
          <w:rFonts w:ascii="仿宋_GB2312" w:eastAsia="仿宋_GB2312"/>
          <w:b/>
          <w:color w:val="auto"/>
          <w:sz w:val="32"/>
          <w:szCs w:val="32"/>
          <w:highlight w:val="none"/>
        </w:rPr>
      </w:pPr>
      <w:bookmarkStart w:id="238" w:name="_Toc183"/>
      <w:bookmarkStart w:id="239" w:name="_Toc5613"/>
      <w:bookmarkStart w:id="240" w:name="_Toc22113"/>
      <w:bookmarkStart w:id="241" w:name="_Toc1053"/>
      <w:bookmarkStart w:id="242" w:name="_Toc30567"/>
      <w:bookmarkStart w:id="243" w:name="_Toc29177"/>
      <w:bookmarkStart w:id="244" w:name="_Toc1733"/>
      <w:r>
        <w:rPr>
          <w:rFonts w:hint="eastAsia" w:ascii="仿宋_GB2312" w:eastAsia="仿宋_GB2312"/>
          <w:b/>
          <w:color w:val="auto"/>
          <w:sz w:val="32"/>
          <w:szCs w:val="32"/>
          <w:highlight w:val="none"/>
        </w:rPr>
        <w:t>二、响应文件评审</w:t>
      </w:r>
      <w:bookmarkEnd w:id="238"/>
      <w:bookmarkEnd w:id="239"/>
      <w:bookmarkEnd w:id="240"/>
      <w:bookmarkEnd w:id="241"/>
      <w:bookmarkEnd w:id="242"/>
      <w:bookmarkEnd w:id="243"/>
      <w:bookmarkEnd w:id="244"/>
    </w:p>
    <w:p>
      <w:pPr>
        <w:spacing w:line="560" w:lineRule="exact"/>
        <w:ind w:firstLine="640" w:firstLineChars="200"/>
        <w:outlineLvl w:val="1"/>
        <w:rPr>
          <w:rFonts w:ascii="仿宋_GB2312" w:eastAsia="仿宋_GB2312"/>
          <w:color w:val="auto"/>
          <w:sz w:val="32"/>
          <w:szCs w:val="32"/>
          <w:highlight w:val="none"/>
        </w:rPr>
      </w:pPr>
      <w:bookmarkStart w:id="245" w:name="_Toc12949"/>
      <w:bookmarkStart w:id="246" w:name="_Toc20519"/>
      <w:r>
        <w:rPr>
          <w:rFonts w:hint="eastAsia" w:ascii="仿宋_GB2312" w:eastAsia="仿宋_GB2312"/>
          <w:color w:val="auto"/>
          <w:sz w:val="32"/>
          <w:szCs w:val="32"/>
          <w:highlight w:val="none"/>
        </w:rPr>
        <w:t>（一）评审小组的组成</w:t>
      </w:r>
      <w:bookmarkEnd w:id="245"/>
      <w:bookmarkEnd w:id="246"/>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询价采购人按</w:t>
      </w:r>
      <w:r>
        <w:rPr>
          <w:rFonts w:hint="eastAsia" w:ascii="仿宋_GB2312" w:eastAsia="仿宋_GB2312"/>
          <w:color w:val="auto"/>
          <w:sz w:val="32"/>
          <w:szCs w:val="32"/>
          <w:highlight w:val="none"/>
          <w:lang w:val="en-US" w:eastAsia="zh-CN"/>
        </w:rPr>
        <w:t>有关规定</w:t>
      </w:r>
      <w:r>
        <w:rPr>
          <w:rFonts w:hint="eastAsia" w:ascii="仿宋_GB2312" w:eastAsia="仿宋_GB2312"/>
          <w:color w:val="auto"/>
          <w:sz w:val="32"/>
          <w:szCs w:val="32"/>
          <w:highlight w:val="none"/>
        </w:rPr>
        <w:t>要求并根据询价采购项目特点组成评审小组。</w:t>
      </w:r>
    </w:p>
    <w:p>
      <w:pPr>
        <w:spacing w:line="560" w:lineRule="exact"/>
        <w:ind w:firstLine="640" w:firstLineChars="200"/>
        <w:outlineLvl w:val="1"/>
        <w:rPr>
          <w:rFonts w:ascii="仿宋_GB2312" w:eastAsia="仿宋_GB2312"/>
          <w:color w:val="auto"/>
          <w:sz w:val="32"/>
          <w:szCs w:val="32"/>
          <w:highlight w:val="none"/>
        </w:rPr>
      </w:pPr>
      <w:bookmarkStart w:id="247" w:name="_Toc18395"/>
      <w:bookmarkStart w:id="248" w:name="_Toc304"/>
      <w:r>
        <w:rPr>
          <w:rFonts w:hint="eastAsia" w:ascii="仿宋_GB2312" w:eastAsia="仿宋_GB2312"/>
          <w:color w:val="auto"/>
          <w:sz w:val="32"/>
          <w:szCs w:val="32"/>
          <w:highlight w:val="none"/>
        </w:rPr>
        <w:t>（二）评审方法和依据</w:t>
      </w:r>
      <w:bookmarkEnd w:id="247"/>
      <w:bookmarkEnd w:id="248"/>
    </w:p>
    <w:p>
      <w:pPr>
        <w:spacing w:line="560" w:lineRule="exact"/>
        <w:ind w:firstLine="640" w:firstLineChars="200"/>
        <w:outlineLvl w:val="2"/>
        <w:rPr>
          <w:rFonts w:ascii="仿宋_GB2312" w:eastAsia="仿宋_GB2312"/>
          <w:color w:val="auto"/>
          <w:sz w:val="32"/>
          <w:szCs w:val="32"/>
          <w:highlight w:val="none"/>
        </w:rPr>
      </w:pPr>
      <w:bookmarkStart w:id="249" w:name="_Toc23432"/>
      <w:r>
        <w:rPr>
          <w:rFonts w:hint="eastAsia" w:ascii="仿宋_GB2312" w:eastAsia="仿宋_GB2312"/>
          <w:color w:val="auto"/>
          <w:sz w:val="32"/>
          <w:szCs w:val="32"/>
          <w:highlight w:val="none"/>
        </w:rPr>
        <w:t>1.评审办法：</w:t>
      </w:r>
      <w:bookmarkEnd w:id="249"/>
      <w:r>
        <w:rPr>
          <w:rFonts w:hint="eastAsia" w:ascii="仿宋_GB2312" w:eastAsia="仿宋_GB2312"/>
          <w:color w:val="auto"/>
          <w:sz w:val="32"/>
          <w:szCs w:val="32"/>
          <w:highlight w:val="none"/>
        </w:rPr>
        <w:t xml:space="preserve"> </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评审小组从质量和服务均能满足询价采购文件实质性响应要求的供应商中，按照报价总价由低到高的顺序不多于3名成交候选人，并编写评审报告。</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询价采购人从评审报告推荐的成交候选人中，根据质量和服务均能满足询价采购文件实质性响应要求且报价最低的原则确定成交人。</w:t>
      </w:r>
    </w:p>
    <w:p>
      <w:pPr>
        <w:spacing w:line="560" w:lineRule="exact"/>
        <w:ind w:firstLine="640" w:firstLineChars="200"/>
        <w:outlineLvl w:val="2"/>
        <w:rPr>
          <w:rFonts w:ascii="仿宋_GB2312" w:eastAsia="仿宋_GB2312"/>
          <w:color w:val="auto"/>
          <w:sz w:val="32"/>
          <w:szCs w:val="32"/>
          <w:highlight w:val="none"/>
        </w:rPr>
      </w:pPr>
      <w:bookmarkStart w:id="250" w:name="_Toc9817"/>
      <w:r>
        <w:rPr>
          <w:rFonts w:hint="eastAsia" w:ascii="仿宋_GB2312" w:eastAsia="仿宋_GB2312"/>
          <w:color w:val="auto"/>
          <w:sz w:val="32"/>
          <w:szCs w:val="32"/>
          <w:highlight w:val="none"/>
        </w:rPr>
        <w:t>2.评审依据：</w:t>
      </w:r>
      <w:bookmarkEnd w:id="250"/>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评审的依据为询价采购文件（含有效的补充文件），评审小组判断供应商对询价采购文件的响应仅基于响应文件本身而不靠外部证据。</w:t>
      </w:r>
    </w:p>
    <w:p>
      <w:pPr>
        <w:spacing w:line="560" w:lineRule="exact"/>
        <w:ind w:firstLine="640" w:firstLineChars="200"/>
        <w:outlineLvl w:val="2"/>
        <w:rPr>
          <w:rFonts w:ascii="仿宋_GB2312" w:eastAsia="仿宋_GB2312"/>
          <w:color w:val="auto"/>
          <w:sz w:val="32"/>
          <w:szCs w:val="32"/>
          <w:highlight w:val="none"/>
        </w:rPr>
      </w:pPr>
      <w:bookmarkStart w:id="251" w:name="_Toc4555"/>
      <w:r>
        <w:rPr>
          <w:rFonts w:hint="eastAsia" w:ascii="仿宋_GB2312" w:eastAsia="仿宋_GB2312"/>
          <w:color w:val="auto"/>
          <w:sz w:val="32"/>
          <w:szCs w:val="32"/>
          <w:highlight w:val="none"/>
        </w:rPr>
        <w:t>3.评审原则：</w:t>
      </w:r>
      <w:bookmarkEnd w:id="25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（1）对所有有效报价的评价，都采用相同的程序和标准。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（2）评审严格按照询价采购文件的要求和条件进行。</w:t>
      </w:r>
    </w:p>
    <w:p>
      <w:pPr>
        <w:spacing w:line="560" w:lineRule="exact"/>
        <w:ind w:firstLine="640" w:firstLineChars="200"/>
        <w:outlineLvl w:val="2"/>
        <w:rPr>
          <w:rFonts w:ascii="仿宋_GB2312" w:eastAsia="仿宋_GB2312"/>
          <w:color w:val="auto"/>
          <w:sz w:val="32"/>
          <w:szCs w:val="32"/>
          <w:highlight w:val="none"/>
        </w:rPr>
      </w:pPr>
      <w:bookmarkStart w:id="252" w:name="_Toc4980"/>
      <w:r>
        <w:rPr>
          <w:rFonts w:hint="eastAsia" w:ascii="仿宋_GB2312" w:eastAsia="仿宋_GB2312"/>
          <w:color w:val="auto"/>
          <w:sz w:val="32"/>
          <w:szCs w:val="32"/>
          <w:highlight w:val="none"/>
        </w:rPr>
        <w:t>4.评审程序</w:t>
      </w:r>
      <w:bookmarkEnd w:id="252"/>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（1）根据《询价采购文件》的要求和规定，评审小组首先对各供应商的《响应文件》进行初审。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初审分资格性检查和符合性检查：资格性检查是依据法律法规和询价采购文件的规定，对响应文件中的资格证明等进行审查，以确定供应商是否具备报价资格；符合性检查是依据询价采购文件的规定，从响应文件的有效性、完整性和对询价采购文件的响应程度进行审查，以确定供应商是否对询价采购文件的实质性要求作出响应。</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澄清有关问题。为了有助于对响应文件进行审查、评估和比较，评审小组可以对响应文件中含义不明确、同类问题表述不一致或者有明显文字和计算错误的内容向供应商质疑，要求供应商作出必要的澄清、说明或纠正。供应商的澄清、说明或者补正应当采用书面形式，由其授权代表签字，并不得超出响应文件的范围或者改变响应文件的实质性内容。书面承诺为其响应文件的组成部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（3）比较与评价。评审小组对初审合格的响应文件按照询价采购文件中规定的评审方法和标准进行综合比较和评价。</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（4）评审小组根据确定的评审方法和标准进行比较、排序，推荐出成交候选人。</w:t>
      </w:r>
    </w:p>
    <w:p>
      <w:pPr>
        <w:spacing w:line="560" w:lineRule="exact"/>
        <w:ind w:firstLine="643" w:firstLineChars="200"/>
        <w:outlineLvl w:val="0"/>
        <w:rPr>
          <w:rFonts w:ascii="仿宋_GB2312" w:eastAsia="仿宋_GB2312"/>
          <w:b/>
          <w:color w:val="auto"/>
          <w:sz w:val="32"/>
          <w:szCs w:val="32"/>
          <w:highlight w:val="none"/>
        </w:rPr>
      </w:pPr>
      <w:bookmarkStart w:id="253" w:name="_Toc2929"/>
      <w:bookmarkStart w:id="254" w:name="_Toc28192"/>
      <w:bookmarkStart w:id="255" w:name="_Toc4340"/>
      <w:bookmarkStart w:id="256" w:name="_Toc30670"/>
      <w:bookmarkStart w:id="257" w:name="_Toc21252"/>
      <w:bookmarkStart w:id="258" w:name="_Toc17835"/>
      <w:bookmarkStart w:id="259" w:name="_Toc23338"/>
      <w:r>
        <w:rPr>
          <w:rFonts w:hint="eastAsia" w:ascii="仿宋_GB2312" w:eastAsia="仿宋_GB2312"/>
          <w:b/>
          <w:color w:val="auto"/>
          <w:sz w:val="32"/>
          <w:szCs w:val="32"/>
          <w:highlight w:val="none"/>
        </w:rPr>
        <w:t>三、成交原则</w:t>
      </w:r>
      <w:bookmarkEnd w:id="253"/>
      <w:bookmarkEnd w:id="254"/>
      <w:bookmarkEnd w:id="255"/>
      <w:bookmarkEnd w:id="256"/>
      <w:bookmarkEnd w:id="257"/>
      <w:bookmarkEnd w:id="258"/>
      <w:bookmarkEnd w:id="259"/>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询价采购人（或其授权的评审小组）按照评审报告中推荐的供应商排名顺序确定排名第一的候选人为成交供应商。排名第一的成交供应商放弃成交或因不可抗力不能履行合同的，询价采购人应当确定排名第二的候选人为成交供应商。排名第二的成交供应商因前述原因不能签订合同的，询价采购人应当确定排名第三的候选人为成交供应商。排名前三名的成交供应商均不能签订合同的，则进行重新询价采购。</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（二）如果经审查或公示期内有异议确定该成交供应商无条件圆满履行合同，询价采购人将对排位其后第一位的成交供应商作出类似的审查和公示。询价采购结果公示于</w:t>
      </w:r>
      <w:r>
        <w:rPr>
          <w:rFonts w:hint="eastAsia" w:ascii="仿宋_GB2312" w:eastAsia="仿宋_GB2312"/>
          <w:color w:val="auto"/>
          <w:sz w:val="32"/>
          <w:szCs w:val="32"/>
          <w:highlight w:val="none"/>
          <w:lang w:eastAsia="zh-CN"/>
        </w:rPr>
        <w:t>福路通资源循环（福建）有限公司</w:t>
      </w:r>
      <w:r>
        <w:rPr>
          <w:rFonts w:hint="eastAsia" w:ascii="仿宋_GB2312" w:eastAsia="仿宋_GB2312"/>
          <w:color w:val="auto"/>
          <w:sz w:val="32"/>
          <w:szCs w:val="32"/>
          <w:highlight w:val="none"/>
        </w:rPr>
        <w:t>公示栏及福建省高速公路集团有限公司网站（www.fjgsgl.com）。</w:t>
      </w:r>
    </w:p>
    <w:p>
      <w:pPr>
        <w:spacing w:line="560" w:lineRule="exact"/>
        <w:ind w:firstLine="640" w:firstLineChars="200"/>
        <w:rPr>
          <w:rFonts w:ascii="仿宋_GB2312" w:eastAsia="仿宋_GB2312"/>
          <w:color w:val="auto"/>
          <w:sz w:val="32"/>
          <w:szCs w:val="32"/>
          <w:highlight w:val="none"/>
        </w:rPr>
      </w:pPr>
      <w:bookmarkStart w:id="260" w:name="_Toc4547"/>
      <w:bookmarkStart w:id="261" w:name="_Toc20855"/>
      <w:r>
        <w:rPr>
          <w:rFonts w:hint="eastAsia" w:ascii="仿宋_GB2312" w:eastAsia="仿宋_GB2312"/>
          <w:color w:val="auto"/>
          <w:sz w:val="32"/>
          <w:szCs w:val="32"/>
          <w:highlight w:val="none"/>
        </w:rPr>
        <w:t>（三）成交通知书</w:t>
      </w:r>
      <w:bookmarkEnd w:id="260"/>
      <w:bookmarkEnd w:id="261"/>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1.询价采购有效期内，询价采购人将以书面形式向成交供应商发出《成交通知书》。《成交通知书》发出后，询价采购人改变成交结果，或者成交供应商放弃成交，应当承担相应的法律责任。</w:t>
      </w:r>
    </w:p>
    <w:p>
      <w:pPr>
        <w:spacing w:line="560" w:lineRule="exact"/>
        <w:ind w:firstLine="640" w:firstLineChars="200"/>
        <w:rPr>
          <w:rFonts w:hint="eastAsia" w:ascii="仿宋_GB2312" w:eastAsia="仿宋_GB2312"/>
          <w:color w:val="auto"/>
          <w:sz w:val="32"/>
          <w:szCs w:val="32"/>
          <w:highlight w:val="none"/>
        </w:rPr>
      </w:pPr>
      <w:bookmarkStart w:id="262" w:name="_Toc17503"/>
      <w:r>
        <w:rPr>
          <w:rFonts w:hint="eastAsia" w:ascii="仿宋_GB2312" w:eastAsia="仿宋_GB2312"/>
          <w:color w:val="auto"/>
          <w:sz w:val="32"/>
          <w:szCs w:val="32"/>
          <w:highlight w:val="none"/>
        </w:rPr>
        <w:t>2.《成交通知书》是签订合同的书面依据。</w:t>
      </w:r>
      <w:bookmarkEnd w:id="262"/>
    </w:p>
    <w:p>
      <w:pPr>
        <w:pStyle w:val="2"/>
        <w:ind w:firstLine="640" w:firstLineChars="200"/>
        <w:rPr>
          <w:rFonts w:hint="default" w:eastAsia="仿宋_GB2312"/>
          <w:color w:val="auto"/>
          <w:highlight w:val="none"/>
          <w:lang w:val="en-US" w:eastAsia="zh-CN"/>
        </w:rPr>
      </w:pPr>
      <w:r>
        <w:rPr>
          <w:rFonts w:hint="eastAsia" w:ascii="仿宋_GB2312" w:eastAsia="仿宋_GB2312"/>
          <w:color w:val="auto"/>
          <w:sz w:val="32"/>
          <w:szCs w:val="32"/>
          <w:highlight w:val="none"/>
          <w:lang w:val="en-US" w:eastAsia="zh-CN"/>
        </w:rPr>
        <w:t>3.《成交通知书》发出后，供应商拒绝签订合同的，采购人有权没收成交供应商的响应保证金，并列入不良行为记录名单。</w:t>
      </w:r>
    </w:p>
    <w:p>
      <w:pPr>
        <w:spacing w:line="560" w:lineRule="exact"/>
        <w:ind w:firstLine="640" w:firstLineChars="200"/>
        <w:rPr>
          <w:rFonts w:ascii="仿宋_GB2312" w:eastAsia="仿宋_GB2312"/>
          <w:color w:val="auto"/>
          <w:sz w:val="32"/>
          <w:szCs w:val="32"/>
          <w:highlight w:val="none"/>
        </w:rPr>
      </w:pPr>
      <w:bookmarkStart w:id="263" w:name="_Toc19368"/>
      <w:bookmarkStart w:id="264" w:name="_Toc27263"/>
      <w:r>
        <w:rPr>
          <w:rFonts w:hint="eastAsia" w:ascii="仿宋_GB2312" w:eastAsia="仿宋_GB2312"/>
          <w:color w:val="auto"/>
          <w:sz w:val="32"/>
          <w:szCs w:val="32"/>
          <w:highlight w:val="none"/>
        </w:rPr>
        <w:t>（四）签订合同时变更数量的权利</w:t>
      </w:r>
      <w:bookmarkEnd w:id="263"/>
      <w:bookmarkEnd w:id="264"/>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根据需要，询价采购人有权提出对询价采购货物作局部调整，但不得对询价采购文件和成交供应商的响应文件作实质性更改，并应经甲乙双方共同认定。</w:t>
      </w:r>
    </w:p>
    <w:p>
      <w:pPr>
        <w:spacing w:line="560" w:lineRule="exact"/>
        <w:ind w:firstLine="643" w:firstLineChars="200"/>
        <w:outlineLvl w:val="0"/>
        <w:rPr>
          <w:rFonts w:ascii="仿宋_GB2312" w:eastAsia="仿宋_GB2312"/>
          <w:b/>
          <w:color w:val="auto"/>
          <w:sz w:val="32"/>
          <w:szCs w:val="32"/>
          <w:highlight w:val="none"/>
        </w:rPr>
      </w:pPr>
      <w:bookmarkStart w:id="265" w:name="_Toc23495"/>
      <w:bookmarkStart w:id="266" w:name="_Toc18533"/>
      <w:bookmarkStart w:id="267" w:name="_Toc21043"/>
      <w:bookmarkStart w:id="268" w:name="_Toc1935"/>
      <w:bookmarkStart w:id="269" w:name="_Toc9077"/>
      <w:bookmarkStart w:id="270" w:name="_Toc18121"/>
      <w:bookmarkStart w:id="271" w:name="_Toc31501"/>
      <w:r>
        <w:rPr>
          <w:rFonts w:hint="eastAsia" w:ascii="仿宋_GB2312" w:eastAsia="仿宋_GB2312"/>
          <w:b/>
          <w:color w:val="auto"/>
          <w:sz w:val="32"/>
          <w:szCs w:val="32"/>
          <w:highlight w:val="none"/>
        </w:rPr>
        <w:t>四、签订合同</w:t>
      </w:r>
      <w:bookmarkEnd w:id="265"/>
      <w:bookmarkEnd w:id="266"/>
      <w:bookmarkEnd w:id="267"/>
      <w:bookmarkEnd w:id="268"/>
      <w:bookmarkEnd w:id="269"/>
      <w:bookmarkEnd w:id="270"/>
      <w:bookmarkEnd w:id="271"/>
    </w:p>
    <w:p>
      <w:pPr>
        <w:spacing w:line="560" w:lineRule="exact"/>
        <w:ind w:firstLine="640" w:firstLineChars="200"/>
        <w:outlineLvl w:val="1"/>
        <w:rPr>
          <w:rFonts w:ascii="仿宋_GB2312" w:eastAsia="仿宋_GB2312"/>
          <w:color w:val="auto"/>
          <w:sz w:val="32"/>
          <w:szCs w:val="32"/>
          <w:highlight w:val="none"/>
        </w:rPr>
      </w:pPr>
      <w:bookmarkStart w:id="272" w:name="_Toc4366"/>
      <w:bookmarkStart w:id="273" w:name="_Toc18542"/>
      <w:r>
        <w:rPr>
          <w:rFonts w:hint="eastAsia" w:ascii="仿宋_GB2312" w:eastAsia="仿宋_GB2312"/>
          <w:color w:val="auto"/>
          <w:sz w:val="32"/>
          <w:szCs w:val="32"/>
          <w:highlight w:val="none"/>
        </w:rPr>
        <w:t>（一）签约</w:t>
      </w:r>
      <w:bookmarkEnd w:id="272"/>
      <w:bookmarkEnd w:id="27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1.成交供应商按《成交通知书》指定的时间、地点与询价采购人签订合同。成交人未按照上述要求与采购人签订合同的，响应保证金不予退回。</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2.询价采购文件、成交供应商的响应文件及澄清文件等，均为签订询价采购合同的依据，所签订的合同不得对询价采购文件和成交供应商的响应文件作实质性修改。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3.成交人</w:t>
      </w:r>
      <w:r>
        <w:rPr>
          <w:rFonts w:hint="eastAsia" w:ascii="仿宋_GB2312" w:eastAsia="仿宋_GB2312"/>
          <w:color w:val="auto"/>
          <w:sz w:val="32"/>
          <w:szCs w:val="32"/>
          <w:highlight w:val="none"/>
          <w:lang w:val="en-US" w:eastAsia="zh-CN"/>
        </w:rPr>
        <w:t>响应</w:t>
      </w:r>
      <w:r>
        <w:rPr>
          <w:rFonts w:hint="eastAsia" w:ascii="仿宋_GB2312" w:eastAsia="仿宋_GB2312"/>
          <w:color w:val="auto"/>
          <w:sz w:val="32"/>
          <w:szCs w:val="32"/>
          <w:highlight w:val="none"/>
        </w:rPr>
        <w:t>保证金壹万元整自动转为履约保证金，合同履行完成后</w:t>
      </w:r>
      <w:r>
        <w:rPr>
          <w:rFonts w:hint="eastAsia" w:ascii="仿宋_GB2312" w:hAnsi="仿宋_GB2312" w:eastAsia="仿宋_GB2312" w:cs="仿宋_GB2312"/>
          <w:color w:val="auto"/>
          <w:sz w:val="32"/>
          <w:szCs w:val="32"/>
          <w:highlight w:val="none"/>
          <w:lang w:val="en-US" w:eastAsia="zh-CN"/>
        </w:rPr>
        <w:t>且成交人无违约行为，保证金</w:t>
      </w:r>
      <w:r>
        <w:rPr>
          <w:rFonts w:hint="eastAsia" w:ascii="仿宋_GB2312" w:eastAsia="仿宋_GB2312"/>
          <w:color w:val="auto"/>
          <w:sz w:val="32"/>
          <w:szCs w:val="32"/>
          <w:highlight w:val="none"/>
        </w:rPr>
        <w:t>无息退还。</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4.合同生效条款由甲乙双方约定，法律、行政法规规定应当办理批准、登记等手续后生效的合同，依照其规定。</w:t>
      </w:r>
    </w:p>
    <w:p>
      <w:pPr>
        <w:spacing w:line="560" w:lineRule="exact"/>
        <w:ind w:firstLine="640" w:firstLineChars="200"/>
        <w:rPr>
          <w:rFonts w:ascii="仿宋_GB2312" w:eastAsia="仿宋_GB2312"/>
          <w:color w:val="auto"/>
          <w:sz w:val="32"/>
          <w:szCs w:val="32"/>
          <w:highlight w:val="none"/>
        </w:rPr>
      </w:pPr>
      <w:bookmarkStart w:id="274" w:name="_Toc9737"/>
      <w:r>
        <w:rPr>
          <w:rFonts w:hint="eastAsia" w:ascii="仿宋_GB2312" w:eastAsia="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采购人有权根据本项目实际情况在合同签订阶段对询价问价中第六篇合同主要条款进行调整，但不得与询价采购文件相关内容产生实质性背离。</w:t>
      </w:r>
      <w:bookmarkEnd w:id="227"/>
      <w:bookmarkEnd w:id="228"/>
      <w:bookmarkEnd w:id="229"/>
      <w:bookmarkEnd w:id="230"/>
      <w:bookmarkEnd w:id="274"/>
      <w:bookmarkStart w:id="275" w:name="_Toc122257621"/>
      <w:bookmarkStart w:id="276" w:name="_Toc122750647"/>
    </w:p>
    <w:p>
      <w:pPr>
        <w:spacing w:line="560" w:lineRule="exact"/>
        <w:ind w:firstLine="640" w:firstLineChars="200"/>
        <w:rPr>
          <w:rFonts w:ascii="仿宋_GB2312" w:eastAsia="仿宋_GB2312"/>
          <w:color w:val="auto"/>
          <w:sz w:val="32"/>
          <w:szCs w:val="32"/>
          <w:highlight w:val="none"/>
        </w:rPr>
      </w:pPr>
    </w:p>
    <w:p>
      <w:pPr>
        <w:spacing w:line="560" w:lineRule="exact"/>
        <w:rPr>
          <w:color w:val="auto"/>
          <w:highlight w:val="none"/>
        </w:rPr>
      </w:pPr>
      <w:bookmarkStart w:id="277" w:name="_Toc534883365"/>
      <w:bookmarkStart w:id="278" w:name="_Toc534883407"/>
    </w:p>
    <w:p>
      <w:pPr>
        <w:pageBreakBefore/>
        <w:spacing w:line="560" w:lineRule="atLeast"/>
        <w:jc w:val="center"/>
        <w:outlineLvl w:val="0"/>
        <w:rPr>
          <w:rFonts w:hint="eastAsia" w:ascii="黑体" w:hAnsi="黑体" w:eastAsia="黑体" w:cs="黑体"/>
          <w:color w:val="auto"/>
          <w:sz w:val="44"/>
          <w:szCs w:val="44"/>
          <w:highlight w:val="none"/>
        </w:rPr>
      </w:pPr>
      <w:bookmarkStart w:id="279" w:name="_Toc20180"/>
      <w:bookmarkStart w:id="280" w:name="_Toc19353"/>
      <w:bookmarkStart w:id="281" w:name="_Toc18553"/>
      <w:bookmarkStart w:id="282" w:name="_Toc17366"/>
      <w:bookmarkStart w:id="283" w:name="_Toc32179"/>
      <w:bookmarkStart w:id="284" w:name="_Toc3466"/>
      <w:bookmarkStart w:id="285" w:name="_Toc21200"/>
      <w:bookmarkStart w:id="286" w:name="_Toc18537"/>
      <w:bookmarkStart w:id="287" w:name="_Toc32007"/>
      <w:bookmarkStart w:id="288" w:name="_Toc13390"/>
      <w:bookmarkStart w:id="289" w:name="_Toc26828"/>
      <w:bookmarkStart w:id="290" w:name="_Toc10919"/>
      <w:r>
        <w:rPr>
          <w:rFonts w:hint="eastAsia" w:ascii="黑体" w:hAnsi="黑体" w:eastAsia="黑体" w:cs="黑体"/>
          <w:color w:val="auto"/>
          <w:sz w:val="44"/>
          <w:szCs w:val="44"/>
          <w:highlight w:val="none"/>
        </w:rPr>
        <w:t>第六篇  合同主要条款、合同</w:t>
      </w:r>
      <w:bookmarkEnd w:id="275"/>
      <w:r>
        <w:rPr>
          <w:rFonts w:hint="eastAsia" w:ascii="黑体" w:hAnsi="黑体" w:eastAsia="黑体" w:cs="黑体"/>
          <w:color w:val="auto"/>
          <w:sz w:val="44"/>
          <w:szCs w:val="44"/>
          <w:highlight w:val="none"/>
        </w:rPr>
        <w:t>格式</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pacing w:line="560" w:lineRule="atLeast"/>
        <w:jc w:val="center"/>
        <w:rPr>
          <w:rFonts w:ascii="仿宋_GB2312" w:hAnsi="仿宋_GB2312" w:eastAsia="仿宋_GB2312" w:cs="仿宋_GB2312"/>
          <w:b/>
          <w:color w:val="auto"/>
          <w:sz w:val="32"/>
          <w:szCs w:val="32"/>
          <w:highlight w:val="none"/>
        </w:rPr>
      </w:pPr>
      <w:bookmarkStart w:id="291" w:name="_Toc508286681"/>
    </w:p>
    <w:p>
      <w:pPr>
        <w:keepNext w:val="0"/>
        <w:keepLines w:val="0"/>
        <w:pageBreakBefore w:val="0"/>
        <w:kinsoku/>
        <w:wordWrap/>
        <w:overflowPunct/>
        <w:topLinePunct w:val="0"/>
        <w:autoSpaceDE/>
        <w:autoSpaceDN/>
        <w:bidi w:val="0"/>
        <w:adjustRightInd/>
        <w:spacing w:line="560" w:lineRule="exact"/>
        <w:jc w:val="center"/>
        <w:outlineLvl w:val="0"/>
        <w:rPr>
          <w:rFonts w:hint="eastAsia" w:ascii="仿宋_GB2312" w:hAnsi="仿宋_GB2312" w:eastAsia="仿宋_GB2312" w:cs="仿宋_GB2312"/>
          <w:b/>
          <w:color w:val="auto"/>
          <w:sz w:val="44"/>
          <w:szCs w:val="44"/>
          <w:highlight w:val="none"/>
          <w:lang w:eastAsia="zh-CN"/>
        </w:rPr>
      </w:pPr>
      <w:bookmarkStart w:id="292" w:name="_Toc15058"/>
      <w:bookmarkStart w:id="293" w:name="_Toc32687"/>
      <w:bookmarkStart w:id="294" w:name="_Toc7977"/>
      <w:bookmarkStart w:id="295" w:name="_Toc12202"/>
      <w:bookmarkStart w:id="296" w:name="_Toc27722"/>
      <w:bookmarkStart w:id="297" w:name="_Toc27803"/>
      <w:r>
        <w:rPr>
          <w:rFonts w:hint="eastAsia" w:ascii="仿宋_GB2312" w:hAnsi="仿宋_GB2312" w:eastAsia="仿宋_GB2312" w:cs="仿宋_GB2312"/>
          <w:b/>
          <w:color w:val="auto"/>
          <w:sz w:val="44"/>
          <w:szCs w:val="44"/>
          <w:highlight w:val="none"/>
          <w:lang w:eastAsia="zh-CN"/>
        </w:rPr>
        <w:t>TS级可导向防撞垫原材料</w:t>
      </w:r>
    </w:p>
    <w:p>
      <w:pPr>
        <w:keepNext w:val="0"/>
        <w:keepLines w:val="0"/>
        <w:pageBreakBefore w:val="0"/>
        <w:kinsoku/>
        <w:wordWrap/>
        <w:overflowPunct/>
        <w:topLinePunct w:val="0"/>
        <w:autoSpaceDE/>
        <w:autoSpaceDN/>
        <w:bidi w:val="0"/>
        <w:adjustRightInd/>
        <w:spacing w:line="560" w:lineRule="exact"/>
        <w:jc w:val="center"/>
        <w:outlineLvl w:val="0"/>
        <w:rPr>
          <w:rFonts w:ascii="仿宋_GB2312" w:hAnsi="仿宋_GB2312" w:eastAsia="仿宋_GB2312" w:cs="仿宋_GB2312"/>
          <w:b/>
          <w:color w:val="auto"/>
          <w:sz w:val="44"/>
          <w:szCs w:val="44"/>
          <w:highlight w:val="none"/>
        </w:rPr>
      </w:pPr>
      <w:bookmarkStart w:id="298" w:name="_Toc5671"/>
      <w:r>
        <w:rPr>
          <w:rFonts w:hint="eastAsia" w:ascii="仿宋_GB2312" w:hAnsi="仿宋_GB2312" w:eastAsia="仿宋_GB2312" w:cs="仿宋_GB2312"/>
          <w:b/>
          <w:color w:val="auto"/>
          <w:sz w:val="44"/>
          <w:szCs w:val="44"/>
          <w:highlight w:val="none"/>
          <w:lang w:eastAsia="zh-CN"/>
        </w:rPr>
        <w:t>采购</w:t>
      </w:r>
      <w:r>
        <w:rPr>
          <w:rFonts w:hint="eastAsia" w:ascii="仿宋_GB2312" w:hAnsi="仿宋_GB2312" w:eastAsia="仿宋_GB2312" w:cs="仿宋_GB2312"/>
          <w:b/>
          <w:color w:val="auto"/>
          <w:sz w:val="44"/>
          <w:szCs w:val="44"/>
          <w:highlight w:val="none"/>
        </w:rPr>
        <w:t>合同</w:t>
      </w:r>
      <w:bookmarkEnd w:id="292"/>
      <w:bookmarkEnd w:id="293"/>
      <w:bookmarkEnd w:id="294"/>
      <w:bookmarkEnd w:id="295"/>
      <w:bookmarkEnd w:id="296"/>
      <w:bookmarkEnd w:id="297"/>
      <w:bookmarkEnd w:id="298"/>
    </w:p>
    <w:p>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pacing w:line="560" w:lineRule="exact"/>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 xml:space="preserve">合同编号：        </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福路通资源循环（福建）有限公司</w:t>
      </w:r>
      <w:r>
        <w:rPr>
          <w:rFonts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乙方：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（发包人名称，以下简称“甲方”）为</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lang w:eastAsia="zh-CN"/>
        </w:rPr>
        <w:t>TS级可导向防撞垫原材料（不含梯度增强蜂窝部件）</w:t>
      </w:r>
      <w:r>
        <w:rPr>
          <w:rFonts w:hint="eastAsia" w:ascii="仿宋_GB2312" w:hAnsi="仿宋_GB2312" w:eastAsia="仿宋_GB2312" w:cs="仿宋_GB2312"/>
          <w:color w:val="auto"/>
          <w:sz w:val="32"/>
          <w:szCs w:val="32"/>
          <w:highlight w:val="none"/>
        </w:rPr>
        <w:t>，已接受（承包人名称，以下简称“乙方”）对该项目的响应文件。甲乙双方本着平等互利、自愿合作的原则，经友好协商，根据《</w:t>
      </w:r>
      <w:r>
        <w:rPr>
          <w:rFonts w:hint="eastAsia" w:ascii="仿宋_GB2312" w:hAnsi="仿宋_GB2312" w:eastAsia="仿宋_GB2312" w:cs="仿宋_GB2312"/>
          <w:color w:val="auto"/>
          <w:sz w:val="32"/>
          <w:szCs w:val="32"/>
          <w:highlight w:val="none"/>
          <w:lang w:val="en-US" w:eastAsia="zh-CN"/>
        </w:rPr>
        <w:t>民法典</w:t>
      </w:r>
      <w:r>
        <w:rPr>
          <w:rFonts w:hint="eastAsia" w:ascii="仿宋_GB2312" w:hAnsi="仿宋_GB2312" w:eastAsia="仿宋_GB2312" w:cs="仿宋_GB2312"/>
          <w:color w:val="auto"/>
          <w:sz w:val="32"/>
          <w:szCs w:val="32"/>
          <w:highlight w:val="none"/>
        </w:rPr>
        <w:t>》及相关法律法规的规定，达成如下协议，以资共同遵守。</w:t>
      </w:r>
    </w:p>
    <w:p>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一、根据甲方委托，乙方提供</w:t>
      </w:r>
      <w:r>
        <w:rPr>
          <w:rFonts w:hint="eastAsia" w:ascii="仿宋_GB2312" w:hAnsi="仿宋_GB2312" w:eastAsia="仿宋_GB2312" w:cs="仿宋_GB2312"/>
          <w:b/>
          <w:bCs/>
          <w:color w:val="auto"/>
          <w:sz w:val="32"/>
          <w:szCs w:val="32"/>
          <w:highlight w:val="none"/>
          <w:lang w:eastAsia="zh-CN"/>
        </w:rPr>
        <w:t>TS级可导向防撞垫原材料（不含梯度增强蜂窝部件）</w:t>
      </w:r>
      <w:r>
        <w:rPr>
          <w:rFonts w:hint="eastAsia" w:ascii="仿宋_GB2312" w:hAnsi="仿宋_GB2312" w:eastAsia="仿宋_GB2312" w:cs="仿宋_GB2312"/>
          <w:b/>
          <w:bCs/>
          <w:color w:val="auto"/>
          <w:sz w:val="32"/>
          <w:szCs w:val="32"/>
          <w:highlight w:val="none"/>
          <w:lang w:val="en-US" w:eastAsia="zh-CN"/>
        </w:rPr>
        <w:t>并于宁德古田工厂完成拼装</w:t>
      </w:r>
      <w:r>
        <w:rPr>
          <w:rFonts w:hint="eastAsia" w:ascii="仿宋_GB2312" w:hAnsi="仿宋_GB2312" w:eastAsia="仿宋_GB2312" w:cs="仿宋_GB2312"/>
          <w:b/>
          <w:bCs/>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rPr>
      </w:pPr>
      <w:bookmarkStart w:id="299" w:name="_Toc11763"/>
      <w:r>
        <w:rPr>
          <w:rFonts w:hint="eastAsia" w:ascii="仿宋_GB2312" w:hAnsi="仿宋_GB2312" w:eastAsia="仿宋_GB2312" w:cs="仿宋_GB2312"/>
          <w:b/>
          <w:bCs/>
          <w:color w:val="auto"/>
          <w:sz w:val="32"/>
          <w:szCs w:val="32"/>
          <w:highlight w:val="none"/>
        </w:rPr>
        <w:t>二、下列文件应视为构成合同文件的组成部分：</w:t>
      </w:r>
      <w:bookmarkEnd w:id="299"/>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（1）本协议书及各种合同附件（含评标期间和合同谈判过程中的澄清文件和补充资料）；</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（2）中选通知书；</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（3）投标函（文件）及投标函（文件）附录；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（4）承包人有关人员、设备投入的承诺；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（5）其他合同文件。上述合同文件互相补充和解释。如果合同文件之间存在矛盾或不一致之处，以上述文件的排列顺序在先者为准。</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中华人民共和国民法典</w:t>
      </w:r>
      <w:r>
        <w:rPr>
          <w:rFonts w:hint="eastAsia" w:ascii="仿宋_GB2312" w:hAnsi="仿宋_GB2312" w:eastAsia="仿宋_GB2312" w:cs="仿宋_GB2312"/>
          <w:color w:val="auto"/>
          <w:sz w:val="32"/>
          <w:szCs w:val="32"/>
          <w:highlight w:val="none"/>
        </w:rPr>
        <w:t>》的有关规定，经甲乙双方协商，甲方同意由乙方</w:t>
      </w:r>
      <w:r>
        <w:rPr>
          <w:rFonts w:hint="eastAsia" w:ascii="仿宋_GB2312" w:hAnsi="仿宋_GB2312" w:eastAsia="仿宋_GB2312" w:cs="仿宋_GB2312"/>
          <w:color w:val="auto"/>
          <w:sz w:val="32"/>
          <w:szCs w:val="32"/>
          <w:highlight w:val="none"/>
          <w:lang w:eastAsia="zh-CN"/>
        </w:rPr>
        <w:t>提供TS级可导向防撞垫原材料（不含梯度增强蜂窝部件）</w:t>
      </w:r>
      <w:r>
        <w:rPr>
          <w:rFonts w:hint="eastAsia" w:ascii="仿宋_GB2312" w:hAnsi="仿宋_GB2312" w:eastAsia="仿宋_GB2312" w:cs="仿宋_GB2312"/>
          <w:color w:val="auto"/>
          <w:sz w:val="32"/>
          <w:szCs w:val="32"/>
          <w:highlight w:val="none"/>
          <w:lang w:val="en-US" w:eastAsia="zh-CN"/>
        </w:rPr>
        <w:t>，并运输到指定地点拼装成标准单元成品</w:t>
      </w:r>
      <w:r>
        <w:rPr>
          <w:rFonts w:hint="eastAsia" w:ascii="仿宋_GB2312" w:hAnsi="仿宋_GB2312" w:eastAsia="仿宋_GB2312" w:cs="仿宋_GB2312"/>
          <w:color w:val="auto"/>
          <w:sz w:val="32"/>
          <w:szCs w:val="32"/>
          <w:highlight w:val="none"/>
        </w:rPr>
        <w:t>，为明确双方权利与义务，特签订如下条款，供双方共同遵守。</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rPr>
      </w:pPr>
      <w:bookmarkStart w:id="300" w:name="_Toc12091"/>
      <w:bookmarkStart w:id="301" w:name="_Toc1910"/>
      <w:bookmarkStart w:id="302" w:name="_Toc11720"/>
      <w:bookmarkStart w:id="303" w:name="_Toc14213"/>
      <w:bookmarkStart w:id="304" w:name="_Toc16793"/>
      <w:bookmarkStart w:id="305" w:name="_Toc25783"/>
      <w:bookmarkStart w:id="306" w:name="_Toc18232"/>
      <w:r>
        <w:rPr>
          <w:rFonts w:hint="eastAsia" w:ascii="仿宋_GB2312" w:hAnsi="仿宋_GB2312" w:eastAsia="仿宋_GB2312" w:cs="仿宋_GB2312"/>
          <w:b/>
          <w:bCs/>
          <w:color w:val="auto"/>
          <w:sz w:val="32"/>
          <w:szCs w:val="32"/>
          <w:highlight w:val="none"/>
        </w:rPr>
        <w:t>三、质量要求及技术标准</w:t>
      </w:r>
      <w:bookmarkEnd w:id="300"/>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TS级可导向防撞垫原材料产品试验检测报告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产品合格证</w:t>
      </w:r>
      <w:r>
        <w:rPr>
          <w:rFonts w:hint="eastAsia" w:ascii="仿宋_GB2312" w:hAnsi="仿宋_GB2312" w:eastAsia="仿宋_GB2312" w:cs="仿宋_GB2312"/>
          <w:color w:val="auto"/>
          <w:sz w:val="32"/>
          <w:szCs w:val="32"/>
          <w:highlight w:val="none"/>
        </w:rPr>
        <w:t>中应附有试验护栏材料性能试验</w:t>
      </w:r>
      <w:r>
        <w:rPr>
          <w:rFonts w:hint="eastAsia" w:ascii="仿宋_GB2312" w:hAnsi="仿宋_GB2312" w:eastAsia="仿宋_GB2312" w:cs="仿宋_GB2312"/>
          <w:color w:val="auto"/>
          <w:sz w:val="32"/>
          <w:szCs w:val="32"/>
          <w:highlight w:val="none"/>
          <w:lang w:val="en-US" w:eastAsia="zh-CN"/>
        </w:rPr>
        <w:t>结果</w:t>
      </w:r>
      <w:r>
        <w:rPr>
          <w:rFonts w:hint="eastAsia" w:ascii="仿宋_GB2312" w:hAnsi="仿宋_GB2312" w:eastAsia="仿宋_GB2312" w:cs="仿宋_GB2312"/>
          <w:color w:val="auto"/>
          <w:sz w:val="32"/>
          <w:szCs w:val="32"/>
          <w:highlight w:val="none"/>
        </w:rPr>
        <w:t>，以便于施工时进行护栏产品质量检测</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TS级可导向防撞垫原材料（不含梯度增强蜂窝部件）的结构尺寸、材料型号、性能指标应</w:t>
      </w:r>
      <w:r>
        <w:rPr>
          <w:rFonts w:hint="eastAsia" w:ascii="仿宋_GB2312" w:hAnsi="仿宋_GB2312" w:eastAsia="仿宋_GB2312" w:cs="仿宋_GB2312"/>
          <w:color w:val="auto"/>
          <w:sz w:val="32"/>
          <w:szCs w:val="32"/>
          <w:highlight w:val="none"/>
          <w:lang w:val="en-US" w:eastAsia="zh-CN"/>
        </w:rPr>
        <w:t>满足</w:t>
      </w:r>
      <w:r>
        <w:rPr>
          <w:rFonts w:hint="eastAsia" w:ascii="仿宋_GB2312" w:hAnsi="仿宋_GB2312" w:eastAsia="仿宋_GB2312" w:cs="仿宋_GB2312"/>
          <w:color w:val="auto"/>
          <w:sz w:val="32"/>
          <w:szCs w:val="32"/>
          <w:highlight w:val="none"/>
        </w:rPr>
        <w:t>现行规范</w:t>
      </w:r>
      <w:r>
        <w:rPr>
          <w:rFonts w:hint="eastAsia" w:ascii="仿宋_GB2312" w:hAnsi="仿宋_GB2312" w:eastAsia="仿宋_GB2312" w:cs="仿宋_GB2312"/>
          <w:color w:val="auto"/>
          <w:sz w:val="32"/>
          <w:szCs w:val="32"/>
          <w:highlight w:val="none"/>
          <w:lang w:val="en-US" w:eastAsia="zh-CN"/>
        </w:rPr>
        <w:t>质量</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满足</w:t>
      </w:r>
      <w:r>
        <w:rPr>
          <w:rFonts w:hint="eastAsia" w:ascii="仿宋_GB2312" w:hAnsi="仿宋_GB2312" w:eastAsia="仿宋_GB2312" w:cs="仿宋_GB2312"/>
          <w:color w:val="auto"/>
          <w:sz w:val="32"/>
          <w:szCs w:val="32"/>
          <w:highlight w:val="none"/>
        </w:rPr>
        <w:t>设计</w:t>
      </w:r>
      <w:r>
        <w:rPr>
          <w:rFonts w:hint="eastAsia" w:ascii="仿宋_GB2312" w:hAnsi="仿宋_GB2312" w:eastAsia="仿宋_GB2312" w:cs="仿宋_GB2312"/>
          <w:color w:val="auto"/>
          <w:sz w:val="32"/>
          <w:szCs w:val="32"/>
          <w:highlight w:val="none"/>
          <w:lang w:val="en-US" w:eastAsia="zh-CN"/>
        </w:rPr>
        <w:t>文件指标要求</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TS级可导向防撞垫安装和使用须满足《公路交通安全设施设计规范》(JTGD81-2017)和《公路交通安全设施设计细则》(JTG/TD81-2017)相关要求</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w:t>
      </w:r>
      <w:r>
        <w:rPr>
          <w:rFonts w:hint="eastAsia" w:ascii="仿宋_GB2312" w:hAnsi="仿宋_GB2312" w:eastAsia="仿宋_GB2312" w:cs="仿宋_GB2312"/>
          <w:color w:val="auto"/>
          <w:sz w:val="32"/>
          <w:szCs w:val="32"/>
          <w:highlight w:val="none"/>
          <w:lang w:val="en-US" w:eastAsia="zh-CN"/>
        </w:rPr>
        <w:t>原材料</w:t>
      </w:r>
      <w:r>
        <w:rPr>
          <w:rFonts w:hint="eastAsia" w:ascii="仿宋_GB2312" w:hAnsi="仿宋_GB2312" w:eastAsia="仿宋_GB2312" w:cs="仿宋_GB2312"/>
          <w:color w:val="auto"/>
          <w:sz w:val="32"/>
          <w:szCs w:val="32"/>
          <w:highlight w:val="none"/>
        </w:rPr>
        <w:t>都不得现场加工切割，应采用模压</w:t>
      </w:r>
      <w:r>
        <w:rPr>
          <w:rFonts w:hint="eastAsia" w:ascii="仿宋_GB2312" w:hAnsi="仿宋_GB2312" w:eastAsia="仿宋_GB2312" w:cs="仿宋_GB2312"/>
          <w:color w:val="auto"/>
          <w:sz w:val="32"/>
          <w:szCs w:val="32"/>
          <w:highlight w:val="none"/>
          <w:lang w:eastAsia="zh-CN"/>
        </w:rPr>
        <w:t>成型</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所有的连接螺栓及拼接螺栓应在护栏的线形达到规定要求时才能拧紧。</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其他类要求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需确保供应全部材料的质量合格，保证能100%通过甲方代表、业主、监理、第三方检测单位及省监督站等有关部门的随机抽样检测；若检测不合格，乙方应在甲方问题反馈的24小时内作出处理回复；乙方不予回复处理，视为认可甲方所提出的质量问题，甲方有权要求乙方予以退换，乙方需在3天内将全部材料清场，7天内更换合格材料到场，由此产生的装卸费、搬运费、人工费、返工费、运输费等一切费用由乙方承担，如由此造成甲方返工的，还应当赔偿返工损失。乙方如未能及时足量更换合格材料的，为保证工程顺利施工，甲方有权另行采购相应的材料，乙方应退回已付货款并支付合同总金额30%违约金。如乙方未依约退换材料或者乙方未将不合格材料清场的，乙方放在工地上的材料，视为废弃物，甲方有权进行处置，仓储费、场地占用费以及处置费用由乙方承担，材料毁损、灭失风险亦由乙方自行承担。</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color w:val="auto"/>
          <w:sz w:val="32"/>
          <w:szCs w:val="32"/>
          <w:highlight w:val="none"/>
        </w:rPr>
      </w:pPr>
      <w:bookmarkStart w:id="307" w:name="_Toc3721"/>
      <w:r>
        <w:rPr>
          <w:rFonts w:hint="eastAsia" w:ascii="仿宋_GB2312" w:hAnsi="仿宋_GB2312" w:eastAsia="仿宋_GB2312" w:cs="仿宋_GB2312"/>
          <w:b/>
          <w:bCs/>
          <w:color w:val="auto"/>
          <w:sz w:val="32"/>
          <w:szCs w:val="32"/>
          <w:highlight w:val="none"/>
        </w:rPr>
        <w:t>四、双方的权利及义务</w:t>
      </w:r>
      <w:bookmarkEnd w:id="307"/>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甲方按时提供分批次需求计划，因计划不及时造成的影响由甲方自负；若乙方不能按照计划供货影响工程施工，造成的损失由乙方承担（自然灾害等不可抗拒的因素除外）。延误期达到 2 天以上，甲方将有权终止本合同。</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）因甲方工程施工发生工程变更等特殊原因，甲方有权对本合同数量和品种进行调整，并及时通知乙方，乙方按通知的数量和品种组织供应</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乙方在运输过程中发生交通事故、人身伤害、通讯或水电线路损害、污染物泄漏等所造成的一切损失由乙方承担。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）收料单（供货联）由乙方自行保管，严禁倒卖。收料单必须作为材料结算单的附件。对褶皱造成的字迹不清、丢失等，责任由乙方承担，私自涂改收料单，甲方有权拒绝结算并终止合同。</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乙方运输时与地方发生任何纠纷均与甲方无关，乙方需自行解决；乙方运输车进入甲方</w:t>
      </w:r>
      <w:r>
        <w:rPr>
          <w:rFonts w:hint="eastAsia" w:ascii="仿宋_GB2312" w:hAnsi="仿宋_GB2312" w:eastAsia="仿宋_GB2312" w:cs="仿宋_GB2312"/>
          <w:color w:val="auto"/>
          <w:sz w:val="32"/>
          <w:szCs w:val="32"/>
          <w:highlight w:val="none"/>
          <w:lang w:val="en-US" w:eastAsia="zh-CN"/>
        </w:rPr>
        <w:t>工厂</w:t>
      </w:r>
      <w:r>
        <w:rPr>
          <w:rFonts w:hint="eastAsia" w:ascii="仿宋_GB2312" w:hAnsi="仿宋_GB2312" w:eastAsia="仿宋_GB2312" w:cs="仿宋_GB2312"/>
          <w:color w:val="auto"/>
          <w:sz w:val="32"/>
          <w:szCs w:val="32"/>
          <w:highlight w:val="none"/>
        </w:rPr>
        <w:t>范围内时，必须遵守甲方的规章制度，服从甲方人员指挥，注意安全、不损坏甲方项目内设施，自觉控制运输车辆的速度与噪声。如果乙方原因引起设施损坏、安全事故等，由乙方承担责任。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若乙方提供的材料确实存在质量问题，乙方不得以货物已经验收、签收、使用及其他原因为由进行抗辩免责。</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甲方在施工过程中或施工结束后因乙方材料质量原因导致甲方受到第三方主张权利或行政处罚，乙方应当承担一切赔偿责任（包括但不限于诉讼费、律师费、保全费和差旅费等），该责任不因合同的终止而减小或解除。</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kern w:val="2"/>
          <w:sz w:val="32"/>
          <w:szCs w:val="32"/>
          <w:highlight w:val="none"/>
          <w:lang w:val="en-US" w:eastAsia="zh-CN" w:bidi="ar-SA"/>
        </w:rPr>
      </w:pPr>
      <w:bookmarkStart w:id="308" w:name="_Toc20378"/>
      <w:r>
        <w:rPr>
          <w:rFonts w:hint="eastAsia" w:ascii="仿宋_GB2312" w:hAnsi="仿宋_GB2312" w:eastAsia="仿宋_GB2312" w:cs="仿宋_GB2312"/>
          <w:b/>
          <w:bCs/>
          <w:color w:val="auto"/>
          <w:kern w:val="2"/>
          <w:sz w:val="32"/>
          <w:szCs w:val="32"/>
          <w:highlight w:val="none"/>
          <w:lang w:val="en-US" w:eastAsia="zh-CN" w:bidi="ar-SA"/>
        </w:rPr>
        <w:t>五、协作服务费用及结算方式</w:t>
      </w:r>
      <w:bookmarkEnd w:id="308"/>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（一）工程量清单</w:t>
      </w:r>
    </w:p>
    <w:tbl>
      <w:tblPr>
        <w:tblStyle w:val="31"/>
        <w:tblW w:w="4998" w:type="pct"/>
        <w:jc w:val="center"/>
        <w:tblLayout w:type="autofit"/>
        <w:tblCellMar>
          <w:top w:w="0" w:type="dxa"/>
          <w:left w:w="108" w:type="dxa"/>
          <w:bottom w:w="0" w:type="dxa"/>
          <w:right w:w="108" w:type="dxa"/>
        </w:tblCellMar>
      </w:tblPr>
      <w:tblGrid>
        <w:gridCol w:w="973"/>
        <w:gridCol w:w="3455"/>
        <w:gridCol w:w="968"/>
        <w:gridCol w:w="1826"/>
        <w:gridCol w:w="1834"/>
      </w:tblGrid>
      <w:tr>
        <w:tblPrEx>
          <w:tblCellMar>
            <w:top w:w="0" w:type="dxa"/>
            <w:left w:w="108" w:type="dxa"/>
            <w:bottom w:w="0" w:type="dxa"/>
            <w:right w:w="108" w:type="dxa"/>
          </w:tblCellMar>
        </w:tblPrEx>
        <w:trPr>
          <w:trHeight w:val="567" w:hRule="atLeast"/>
          <w:jc w:val="center"/>
        </w:trPr>
        <w:tc>
          <w:tcPr>
            <w:tcW w:w="537" w:type="pct"/>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序号</w:t>
            </w:r>
          </w:p>
        </w:tc>
        <w:tc>
          <w:tcPr>
            <w:tcW w:w="1907"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工程或费用名称</w:t>
            </w:r>
          </w:p>
        </w:tc>
        <w:tc>
          <w:tcPr>
            <w:tcW w:w="534"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单位</w:t>
            </w:r>
          </w:p>
        </w:tc>
        <w:tc>
          <w:tcPr>
            <w:tcW w:w="1008"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单价（元）</w:t>
            </w:r>
          </w:p>
        </w:tc>
        <w:tc>
          <w:tcPr>
            <w:tcW w:w="101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备注</w:t>
            </w:r>
          </w:p>
        </w:tc>
      </w:tr>
      <w:tr>
        <w:tblPrEx>
          <w:tblCellMar>
            <w:top w:w="0" w:type="dxa"/>
            <w:left w:w="108" w:type="dxa"/>
            <w:bottom w:w="0" w:type="dxa"/>
            <w:right w:w="108" w:type="dxa"/>
          </w:tblCellMar>
        </w:tblPrEx>
        <w:trPr>
          <w:trHeight w:val="567" w:hRule="atLeast"/>
          <w:jc w:val="center"/>
        </w:trPr>
        <w:tc>
          <w:tcPr>
            <w:tcW w:w="537" w:type="pc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1</w:t>
            </w:r>
          </w:p>
        </w:tc>
        <w:tc>
          <w:tcPr>
            <w:tcW w:w="1907"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TS级可导向防撞垫原材料（不含梯度增强蜂窝部件）</w:t>
            </w:r>
          </w:p>
        </w:tc>
        <w:tc>
          <w:tcPr>
            <w:tcW w:w="534"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套</w:t>
            </w:r>
          </w:p>
        </w:tc>
        <w:tc>
          <w:tcPr>
            <w:tcW w:w="1008"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auto"/>
                <w:sz w:val="32"/>
                <w:szCs w:val="32"/>
                <w:highlight w:val="none"/>
                <w:lang w:val="en-US" w:eastAsia="zh-CN"/>
              </w:rPr>
            </w:pPr>
          </w:p>
        </w:tc>
        <w:tc>
          <w:tcPr>
            <w:tcW w:w="1012"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auto"/>
                <w:sz w:val="32"/>
                <w:szCs w:val="32"/>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auto"/>
          <w:sz w:val="32"/>
          <w:szCs w:val="32"/>
          <w:highlight w:val="none"/>
        </w:rPr>
        <w:t>注：总采购费用应包括原材料采购完成后运输至宁德古田工厂拼装加工成品</w:t>
      </w:r>
      <w:r>
        <w:rPr>
          <w:rFonts w:hint="eastAsia" w:ascii="仿宋_GB2312" w:hAnsi="仿宋_GB2312" w:eastAsia="仿宋_GB2312" w:cs="仿宋_GB2312"/>
          <w:bCs/>
          <w:color w:val="auto"/>
          <w:sz w:val="32"/>
          <w:szCs w:val="32"/>
          <w:highlight w:val="none"/>
          <w:lang w:val="en-US" w:eastAsia="zh-CN"/>
        </w:rPr>
        <w:t>的费用（新型防撞垫配件梯度增强蜂窝结构部件由本单位提供）、</w:t>
      </w:r>
      <w:r>
        <w:rPr>
          <w:rFonts w:hint="eastAsia" w:ascii="仿宋_GB2312" w:hAnsi="仿宋_GB2312" w:eastAsia="仿宋_GB2312" w:cs="仿宋_GB2312"/>
          <w:bCs/>
          <w:color w:val="auto"/>
          <w:sz w:val="32"/>
          <w:szCs w:val="32"/>
          <w:highlight w:val="none"/>
        </w:rPr>
        <w:t>人工费、食宿费、高速通行费、燃油费、车辆机械设备维修费、</w:t>
      </w:r>
      <w:r>
        <w:rPr>
          <w:rFonts w:hint="eastAsia" w:ascii="仿宋_GB2312" w:hAnsi="仿宋_GB2312" w:eastAsia="仿宋_GB2312" w:cs="仿宋_GB2312"/>
          <w:bCs/>
          <w:color w:val="auto"/>
          <w:sz w:val="32"/>
          <w:szCs w:val="32"/>
          <w:highlight w:val="none"/>
          <w:lang w:val="en-US" w:eastAsia="zh-CN"/>
        </w:rPr>
        <w:t>运输费、</w:t>
      </w:r>
      <w:r>
        <w:rPr>
          <w:rFonts w:hint="eastAsia" w:ascii="仿宋_GB2312" w:hAnsi="仿宋_GB2312" w:eastAsia="仿宋_GB2312" w:cs="仿宋_GB2312"/>
          <w:bCs/>
          <w:color w:val="auto"/>
          <w:sz w:val="32"/>
          <w:szCs w:val="32"/>
          <w:highlight w:val="none"/>
        </w:rPr>
        <w:t>增值税专用发票税费等为完成工作所发生的相关费用，本项目为单价合同，结算数量以实际完成并经现场验收合格数量为准。</w:t>
      </w:r>
      <w:r>
        <w:rPr>
          <w:rFonts w:hint="eastAsia" w:ascii="仿宋_GB2312" w:hAnsi="仿宋_GB2312" w:eastAsia="仿宋_GB2312" w:cs="仿宋_GB2312"/>
          <w:color w:val="auto"/>
          <w:kern w:val="2"/>
          <w:sz w:val="32"/>
          <w:szCs w:val="32"/>
          <w:highlight w:val="none"/>
          <w:lang w:val="en-US" w:eastAsia="zh-CN" w:bidi="ar-SA"/>
        </w:rPr>
        <w:t xml:space="preserve"> </w:t>
      </w:r>
    </w:p>
    <w:p>
      <w:pPr>
        <w:spacing w:line="56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结算方式：根据甲方实际发货通知，货到收货地且甲方验收合格并收到乙方结算单和增值税专用发票后，十五日内通过银行转账的方式向乙方支付</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%货款。</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1.甲方银行账户信息：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开户银行：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银行账号：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开户名称：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2.乙方银行账户信息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开户银行：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银行账号：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开户名称：                                    </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lang w:val="en-US" w:eastAsia="zh-CN"/>
        </w:rPr>
      </w:pPr>
      <w:bookmarkStart w:id="309" w:name="_Toc5674"/>
      <w:r>
        <w:rPr>
          <w:rFonts w:hint="eastAsia" w:ascii="仿宋_GB2312" w:hAnsi="仿宋_GB2312" w:eastAsia="仿宋_GB2312" w:cs="仿宋_GB2312"/>
          <w:b/>
          <w:bCs/>
          <w:color w:val="auto"/>
          <w:sz w:val="32"/>
          <w:szCs w:val="32"/>
          <w:highlight w:val="none"/>
          <w:lang w:val="en-US" w:eastAsia="zh-CN"/>
        </w:rPr>
        <w:t>六、履约保证金金额及形式</w:t>
      </w:r>
      <w:bookmarkEnd w:id="309"/>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（一）履约保证金金额：10000元；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（二）履约保证金币种：人民币；</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（三）履约保证金形式：银行保函或现金（保函有效期至项目竣工合格之日）。履约保证金的退还需在乙方无违约情形下且途中无发现产品不合格现象，合同期满后无息退还至乙方指定银行账户。</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lang w:val="en-US" w:eastAsia="zh-CN"/>
        </w:rPr>
      </w:pPr>
      <w:bookmarkStart w:id="310" w:name="_Toc28963"/>
      <w:r>
        <w:rPr>
          <w:rFonts w:hint="eastAsia" w:ascii="仿宋_GB2312" w:hAnsi="仿宋_GB2312" w:eastAsia="仿宋_GB2312" w:cs="仿宋_GB2312"/>
          <w:b/>
          <w:bCs/>
          <w:color w:val="auto"/>
          <w:sz w:val="32"/>
          <w:szCs w:val="32"/>
          <w:highlight w:val="none"/>
          <w:lang w:val="en-US" w:eastAsia="zh-CN"/>
        </w:rPr>
        <w:t>七、合同有效期</w:t>
      </w:r>
      <w:bookmarkEnd w:id="310"/>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合同签订之日起一年内有效。</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lang w:val="en-US" w:eastAsia="zh-CN"/>
        </w:rPr>
      </w:pPr>
      <w:bookmarkStart w:id="311" w:name="_Toc12396"/>
      <w:r>
        <w:rPr>
          <w:rFonts w:hint="eastAsia" w:ascii="仿宋_GB2312" w:hAnsi="仿宋_GB2312" w:eastAsia="仿宋_GB2312" w:cs="仿宋_GB2312"/>
          <w:b/>
          <w:bCs/>
          <w:color w:val="auto"/>
          <w:sz w:val="32"/>
          <w:szCs w:val="32"/>
          <w:highlight w:val="none"/>
          <w:lang w:val="en-US" w:eastAsia="zh-CN"/>
        </w:rPr>
        <w:t>八、安全生产</w:t>
      </w:r>
      <w:bookmarkEnd w:id="311"/>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（一）乙方须严格遵守安全生产的要求，严禁发生违法乱纪等行为。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（二）乙方须严格遵守高速公路作业的规章制度，确保安全生产。</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lang w:val="en-US" w:eastAsia="zh-CN"/>
        </w:rPr>
      </w:pPr>
      <w:bookmarkStart w:id="312" w:name="_Toc11620"/>
      <w:r>
        <w:rPr>
          <w:rFonts w:hint="eastAsia" w:ascii="仿宋_GB2312" w:hAnsi="仿宋_GB2312" w:eastAsia="仿宋_GB2312" w:cs="仿宋_GB2312"/>
          <w:b/>
          <w:bCs/>
          <w:color w:val="auto"/>
          <w:sz w:val="32"/>
          <w:szCs w:val="32"/>
          <w:highlight w:val="none"/>
          <w:lang w:val="en-US" w:eastAsia="zh-CN"/>
        </w:rPr>
        <w:t>九、保险</w:t>
      </w:r>
      <w:bookmarkEnd w:id="312"/>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（一）乙方承诺为所有参与本项目协作服务人员办理意外伤害保险，并承担相应责任。保险缴费凭证（复印件）必须交甲方备案。</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（二）保险事故发生时，乙方有责任采取必要的措施减少损失。</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color w:val="auto"/>
          <w:sz w:val="32"/>
          <w:szCs w:val="32"/>
          <w:highlight w:val="none"/>
          <w:lang w:val="en-US" w:eastAsia="zh-CN"/>
        </w:rPr>
      </w:pPr>
      <w:bookmarkStart w:id="313" w:name="_Toc17330"/>
      <w:r>
        <w:rPr>
          <w:rFonts w:hint="eastAsia" w:ascii="仿宋_GB2312" w:hAnsi="仿宋_GB2312" w:eastAsia="仿宋_GB2312" w:cs="仿宋_GB2312"/>
          <w:b/>
          <w:bCs/>
          <w:color w:val="auto"/>
          <w:sz w:val="32"/>
          <w:szCs w:val="32"/>
          <w:highlight w:val="none"/>
          <w:lang w:val="en-US" w:eastAsia="zh-CN"/>
        </w:rPr>
        <w:t>十、违约责任</w:t>
      </w:r>
      <w:bookmarkEnd w:id="313"/>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（一）乙方为本项目开展协作服务工作的人员资格不符合要求的，甲方有权单方面解除合同，由此造成的损失由乙方承担。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（二）因乙方原因损坏现场设备或造成部分工程损坏的，乙方应赔偿全部损失，甲方有权从乙方协作服务费中扣除。</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（三）因乙方及第三方原因管理导致发生安全生产事故的，乙方应自行承担全部责任。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（四）乙方未按合同约定完工的，每逾期一日应承担合同暂定总额1‰的违约金，逾期十五日仍未完工的，甲方有权解除合同并要求其承担合同总价款20%的违约金。</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（五）其余未明事项依照《中华人民共和国民法典》及相关民事法律、法规执行。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bookmarkStart w:id="314" w:name="_Toc24599"/>
      <w:r>
        <w:rPr>
          <w:rFonts w:hint="eastAsia" w:ascii="仿宋_GB2312" w:hAnsi="仿宋_GB2312" w:eastAsia="仿宋_GB2312" w:cs="仿宋_GB2312"/>
          <w:b/>
          <w:bCs/>
          <w:color w:val="auto"/>
          <w:sz w:val="32"/>
          <w:szCs w:val="32"/>
          <w:highlight w:val="none"/>
          <w:lang w:val="en-US" w:eastAsia="zh-CN"/>
        </w:rPr>
        <w:t>十一、不可抗力</w:t>
      </w:r>
      <w:bookmarkEnd w:id="3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乙双方的任何一方由于不可抗力的原因不能履行合同时，应及时向对方通报不能履行或不能完全履行的理由，在取得有关证明以后，允许延期履行、部分履行或者不履行合同，并根据情况部分或全部免予承担违约责任。因一方延迟履行导致发生不可抗力事由的，不免除延迟履行方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（二）因政府主管部门、工程建设业主、监理单位出台的相关文件、市场准入规定造成合同不能执行，甲方不承担任何责任。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bookmarkStart w:id="315" w:name="_Toc6181"/>
      <w:r>
        <w:rPr>
          <w:rFonts w:hint="eastAsia" w:ascii="仿宋_GB2312" w:hAnsi="仿宋_GB2312" w:eastAsia="仿宋_GB2312" w:cs="仿宋_GB2312"/>
          <w:b/>
          <w:bCs/>
          <w:color w:val="auto"/>
          <w:sz w:val="32"/>
          <w:szCs w:val="32"/>
          <w:highlight w:val="none"/>
          <w:lang w:val="en-US" w:eastAsia="zh-CN"/>
        </w:rPr>
        <w:t>十二、合同终止履行</w:t>
      </w:r>
      <w:bookmarkEnd w:id="315"/>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乙方在执行合同中出现下列任一行为均属违约行为，甲方可据此向乙方发出书面违约通知书,提出终止部分或全部合同的继续履行。</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（一）供应的材料出现严重质量问题或属于伪造产品。</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（二）以各种理由拒绝接收或完成买方的材料需求计划。</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（三）乙方不能保证供应导致甲方施工生产停滞。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bookmarkStart w:id="316" w:name="_Toc1718"/>
      <w:r>
        <w:rPr>
          <w:rFonts w:hint="eastAsia" w:ascii="仿宋_GB2312" w:hAnsi="仿宋_GB2312" w:eastAsia="仿宋_GB2312" w:cs="仿宋_GB2312"/>
          <w:b/>
          <w:bCs/>
          <w:color w:val="auto"/>
          <w:sz w:val="32"/>
          <w:szCs w:val="32"/>
          <w:highlight w:val="none"/>
          <w:lang w:val="en-US" w:eastAsia="zh-CN"/>
        </w:rPr>
        <w:t>十三、争议解决</w:t>
      </w:r>
      <w:bookmarkEnd w:id="316"/>
    </w:p>
    <w:p>
      <w:pPr>
        <w:pStyle w:val="2"/>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因履行本合同产生的争议，双方应先协商解决，协商不成的，向甲方所在地有管辖权的人民法院提起诉讼。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bookmarkStart w:id="317" w:name="_Toc31624"/>
      <w:r>
        <w:rPr>
          <w:rFonts w:hint="eastAsia" w:ascii="仿宋_GB2312" w:hAnsi="仿宋_GB2312" w:eastAsia="仿宋_GB2312" w:cs="仿宋_GB2312"/>
          <w:b/>
          <w:bCs/>
          <w:color w:val="auto"/>
          <w:sz w:val="32"/>
          <w:szCs w:val="32"/>
          <w:highlight w:val="none"/>
          <w:lang w:val="en-US" w:eastAsia="zh-CN"/>
        </w:rPr>
        <w:t>十四、合同的转让和分包</w:t>
      </w:r>
      <w:bookmarkEnd w:id="3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乙方不得将本合同范围内任何一部分以任何借口和形式转让或分包出去。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bookmarkStart w:id="318" w:name="_Toc3446"/>
      <w:r>
        <w:rPr>
          <w:rFonts w:hint="eastAsia" w:ascii="仿宋_GB2312" w:hAnsi="仿宋_GB2312" w:eastAsia="仿宋_GB2312" w:cs="仿宋_GB2312"/>
          <w:b/>
          <w:bCs/>
          <w:color w:val="auto"/>
          <w:sz w:val="32"/>
          <w:szCs w:val="32"/>
          <w:highlight w:val="none"/>
          <w:lang w:val="en-US" w:eastAsia="zh-CN"/>
        </w:rPr>
        <w:t>十五、附则</w:t>
      </w:r>
      <w:bookmarkEnd w:id="318"/>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（一）本合同经双方签字盖章后生效。合同履行过程中需要进一步约定合同条款的，可由双方协商后签订补充协议，补充协议和本合同具有同等法律效力。</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（二）询价文件也为合同的组成部分。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（三）本合同一式</w:t>
      </w:r>
      <w:r>
        <w:rPr>
          <w:rFonts w:hint="eastAsia" w:ascii="仿宋_GB2312" w:hAnsi="仿宋_GB2312" w:eastAsia="仿宋_GB2312" w:cs="仿宋_GB2312"/>
          <w:color w:val="auto"/>
          <w:sz w:val="32"/>
          <w:szCs w:val="32"/>
          <w:highlight w:val="none"/>
          <w:u w:val="single"/>
          <w:lang w:val="en-US" w:eastAsia="zh-CN"/>
        </w:rPr>
        <w:t>捌</w:t>
      </w:r>
      <w:r>
        <w:rPr>
          <w:rFonts w:hint="eastAsia" w:ascii="仿宋_GB2312" w:hAnsi="仿宋_GB2312" w:eastAsia="仿宋_GB2312" w:cs="仿宋_GB2312"/>
          <w:color w:val="auto"/>
          <w:sz w:val="32"/>
          <w:szCs w:val="32"/>
          <w:highlight w:val="none"/>
          <w:lang w:val="en-US" w:eastAsia="zh-CN"/>
        </w:rPr>
        <w:t>份，甲乙方各执</w:t>
      </w:r>
      <w:r>
        <w:rPr>
          <w:rFonts w:hint="eastAsia" w:ascii="仿宋_GB2312" w:hAnsi="仿宋_GB2312" w:eastAsia="仿宋_GB2312" w:cs="仿宋_GB2312"/>
          <w:color w:val="auto"/>
          <w:sz w:val="32"/>
          <w:szCs w:val="32"/>
          <w:highlight w:val="none"/>
          <w:u w:val="single"/>
          <w:lang w:val="en-US" w:eastAsia="zh-CN"/>
        </w:rPr>
        <w:t>肆</w:t>
      </w:r>
      <w:r>
        <w:rPr>
          <w:rFonts w:hint="eastAsia" w:ascii="仿宋_GB2312" w:hAnsi="仿宋_GB2312" w:eastAsia="仿宋_GB2312" w:cs="仿宋_GB2312"/>
          <w:color w:val="auto"/>
          <w:sz w:val="32"/>
          <w:szCs w:val="32"/>
          <w:highlight w:val="none"/>
          <w:lang w:val="en-US" w:eastAsia="zh-CN"/>
        </w:rPr>
        <w:t>份，具有同等法律效力。</w:t>
      </w:r>
    </w:p>
    <w:bookmarkEnd w:id="301"/>
    <w:bookmarkEnd w:id="302"/>
    <w:bookmarkEnd w:id="303"/>
    <w:bookmarkEnd w:id="304"/>
    <w:bookmarkEnd w:id="305"/>
    <w:bookmarkEnd w:id="306"/>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color w:val="auto"/>
          <w:sz w:val="32"/>
          <w:szCs w:val="32"/>
          <w:highlight w:val="none"/>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法人/授权代表（签字）：</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法人/授权代表（签字）：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tc>
      </w:tr>
    </w:tbl>
    <w:p>
      <w:pPr>
        <w:widowControl/>
        <w:spacing w:line="560" w:lineRule="atLeast"/>
        <w:rPr>
          <w:rFonts w:hint="eastAsia" w:ascii="仿宋_GB2312" w:hAnsi="仿宋_GB2312" w:eastAsia="仿宋_GB2312" w:cs="仿宋_GB2312"/>
          <w:color w:val="auto"/>
          <w:sz w:val="32"/>
          <w:szCs w:val="32"/>
          <w:highlight w:val="none"/>
        </w:rPr>
      </w:pPr>
    </w:p>
    <w:bookmarkEnd w:id="291"/>
    <w:p>
      <w:pPr>
        <w:pageBreakBefore/>
        <w:spacing w:line="560" w:lineRule="atLeast"/>
        <w:jc w:val="center"/>
        <w:outlineLvl w:val="0"/>
        <w:rPr>
          <w:rFonts w:hint="eastAsia" w:ascii="黑体" w:hAnsi="黑体" w:eastAsia="黑体" w:cs="黑体"/>
          <w:color w:val="auto"/>
          <w:sz w:val="44"/>
          <w:szCs w:val="44"/>
          <w:highlight w:val="none"/>
        </w:rPr>
      </w:pPr>
      <w:bookmarkStart w:id="319" w:name="_Toc122257625"/>
      <w:bookmarkStart w:id="320" w:name="_Toc19739"/>
      <w:bookmarkStart w:id="321" w:name="_Toc12462"/>
      <w:bookmarkStart w:id="322" w:name="_Toc122750651"/>
      <w:bookmarkStart w:id="323" w:name="_Toc8079"/>
      <w:bookmarkStart w:id="324" w:name="_Toc26998"/>
      <w:bookmarkStart w:id="325" w:name="_Toc4760"/>
      <w:bookmarkStart w:id="326" w:name="_Toc20816"/>
      <w:bookmarkStart w:id="327" w:name="_Toc24961"/>
      <w:bookmarkStart w:id="328" w:name="_Toc7999"/>
      <w:bookmarkStart w:id="329" w:name="_Toc29038"/>
      <w:r>
        <w:rPr>
          <w:rFonts w:hint="eastAsia" w:ascii="黑体" w:hAnsi="黑体" w:eastAsia="黑体" w:cs="黑体"/>
          <w:color w:val="auto"/>
          <w:sz w:val="44"/>
          <w:szCs w:val="44"/>
          <w:highlight w:val="none"/>
        </w:rPr>
        <w:t>第七篇</w:t>
      </w:r>
      <w:bookmarkEnd w:id="319"/>
      <w:r>
        <w:rPr>
          <w:rFonts w:hint="eastAsia" w:ascii="黑体" w:hAnsi="黑体" w:eastAsia="黑体" w:cs="黑体"/>
          <w:color w:val="auto"/>
          <w:sz w:val="44"/>
          <w:szCs w:val="44"/>
          <w:highlight w:val="none"/>
        </w:rPr>
        <w:t xml:space="preserve">  响应文件格式</w:t>
      </w:r>
      <w:bookmarkEnd w:id="320"/>
      <w:bookmarkEnd w:id="321"/>
      <w:bookmarkEnd w:id="322"/>
      <w:bookmarkEnd w:id="323"/>
      <w:bookmarkEnd w:id="324"/>
      <w:bookmarkEnd w:id="325"/>
      <w:bookmarkEnd w:id="326"/>
      <w:bookmarkEnd w:id="327"/>
      <w:bookmarkEnd w:id="328"/>
      <w:bookmarkEnd w:id="329"/>
    </w:p>
    <w:p>
      <w:pPr>
        <w:pageBreakBefore/>
        <w:spacing w:line="560" w:lineRule="exact"/>
        <w:jc w:val="center"/>
        <w:rPr>
          <w:rFonts w:ascii="仿宋_GB2312" w:eastAsia="仿宋_GB2312"/>
          <w:bCs/>
          <w:color w:val="auto"/>
          <w:sz w:val="44"/>
          <w:szCs w:val="44"/>
          <w:highlight w:val="none"/>
        </w:rPr>
      </w:pPr>
      <w:r>
        <w:rPr>
          <w:rFonts w:hint="eastAsia" w:ascii="仿宋_GB2312" w:eastAsia="仿宋_GB2312"/>
          <w:bCs/>
          <w:color w:val="auto"/>
          <w:sz w:val="44"/>
          <w:szCs w:val="44"/>
          <w:highlight w:val="none"/>
        </w:rPr>
        <w:t>（响应文件包封封面）</w:t>
      </w:r>
    </w:p>
    <w:p>
      <w:pPr>
        <w:spacing w:line="560" w:lineRule="exact"/>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 xml:space="preserve"> </w:t>
      </w:r>
    </w:p>
    <w:p>
      <w:pPr>
        <w:spacing w:line="560" w:lineRule="exact"/>
        <w:jc w:val="center"/>
        <w:rPr>
          <w:rFonts w:ascii="仿宋_GB2312" w:eastAsia="仿宋_GB2312"/>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TS级可导向防撞垫原材料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44"/>
          <w:szCs w:val="44"/>
          <w:highlight w:val="none"/>
        </w:rPr>
      </w:pPr>
      <w:r>
        <w:rPr>
          <w:rFonts w:hint="eastAsia" w:ascii="仿宋_GB2312" w:hAnsi="仿宋_GB2312" w:eastAsia="仿宋_GB2312" w:cs="仿宋_GB2312"/>
          <w:b/>
          <w:bCs/>
          <w:color w:val="auto"/>
          <w:sz w:val="44"/>
          <w:szCs w:val="44"/>
          <w:highlight w:val="none"/>
        </w:rPr>
        <w:t>询价采购</w:t>
      </w: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pStyle w:val="2"/>
        <w:rPr>
          <w:rFonts w:ascii="仿宋_GB2312" w:eastAsia="仿宋_GB2312"/>
          <w:b/>
          <w:color w:val="auto"/>
          <w:sz w:val="44"/>
          <w:szCs w:val="44"/>
          <w:highlight w:val="none"/>
        </w:rPr>
      </w:pPr>
    </w:p>
    <w:p>
      <w:pPr>
        <w:pStyle w:val="2"/>
        <w:rPr>
          <w:rFonts w:ascii="仿宋_GB2312" w:eastAsia="仿宋_GB2312"/>
          <w:b/>
          <w:color w:val="auto"/>
          <w:sz w:val="44"/>
          <w:szCs w:val="44"/>
          <w:highlight w:val="none"/>
        </w:rPr>
      </w:pPr>
    </w:p>
    <w:p>
      <w:pPr>
        <w:pStyle w:val="2"/>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响应文件</w:t>
      </w: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供应商：</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 xml:space="preserve"> （单位名称加盖公章）</w:t>
      </w:r>
    </w:p>
    <w:p>
      <w:pPr>
        <w:spacing w:line="5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日  期：2025年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pageBreakBefore/>
        <w:spacing w:line="560" w:lineRule="exact"/>
        <w:jc w:val="center"/>
        <w:rPr>
          <w:rFonts w:ascii="仿宋_GB2312" w:eastAsia="仿宋_GB2312"/>
          <w:bCs/>
          <w:color w:val="auto"/>
          <w:sz w:val="44"/>
          <w:szCs w:val="44"/>
          <w:highlight w:val="none"/>
        </w:rPr>
      </w:pPr>
      <w:r>
        <w:rPr>
          <w:rFonts w:hint="eastAsia" w:ascii="仿宋_GB2312" w:eastAsia="仿宋_GB2312"/>
          <w:bCs/>
          <w:color w:val="auto"/>
          <w:sz w:val="44"/>
          <w:szCs w:val="44"/>
          <w:highlight w:val="none"/>
        </w:rPr>
        <w:t>（响应文件封面）</w:t>
      </w: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hint="eastAsia" w:ascii="仿宋_GB2312" w:eastAsia="仿宋_GB2312"/>
          <w:b/>
          <w:color w:val="auto"/>
          <w:sz w:val="44"/>
          <w:szCs w:val="44"/>
          <w:highlight w:val="none"/>
          <w:lang w:eastAsia="zh-CN"/>
        </w:rPr>
      </w:pPr>
      <w:r>
        <w:rPr>
          <w:rFonts w:hint="eastAsia" w:ascii="仿宋_GB2312" w:eastAsia="仿宋_GB2312"/>
          <w:b/>
          <w:color w:val="auto"/>
          <w:sz w:val="44"/>
          <w:szCs w:val="44"/>
          <w:highlight w:val="none"/>
          <w:lang w:eastAsia="zh-CN"/>
        </w:rPr>
        <w:t>TS级可导向防撞垫原材料</w:t>
      </w:r>
    </w:p>
    <w:p>
      <w:pPr>
        <w:spacing w:line="560" w:lineRule="exact"/>
        <w:jc w:val="center"/>
        <w:rPr>
          <w:rFonts w:hint="eastAsia" w:ascii="仿宋_GB2312" w:eastAsia="仿宋_GB2312"/>
          <w:b/>
          <w:color w:val="auto"/>
          <w:sz w:val="44"/>
          <w:szCs w:val="44"/>
          <w:highlight w:val="none"/>
          <w:lang w:eastAsia="zh-CN"/>
        </w:rPr>
      </w:pPr>
      <w:r>
        <w:rPr>
          <w:rFonts w:hint="eastAsia" w:ascii="仿宋_GB2312" w:eastAsia="仿宋_GB2312"/>
          <w:b/>
          <w:color w:val="auto"/>
          <w:sz w:val="44"/>
          <w:szCs w:val="44"/>
          <w:highlight w:val="none"/>
          <w:lang w:eastAsia="zh-CN"/>
        </w:rPr>
        <w:t>（不含梯度增强蜂窝部件）</w:t>
      </w:r>
    </w:p>
    <w:p>
      <w:pPr>
        <w:spacing w:line="560" w:lineRule="exact"/>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询价采购</w:t>
      </w: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p>
    <w:p>
      <w:pPr>
        <w:spacing w:line="560" w:lineRule="exact"/>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t>响应文件</w:t>
      </w: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p>
    <w:p>
      <w:pPr>
        <w:spacing w:line="5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供应商：</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 xml:space="preserve"> （单位名称加盖公章）</w:t>
      </w:r>
    </w:p>
    <w:p>
      <w:pPr>
        <w:spacing w:line="5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日  期：2025年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p>
    <w:p>
      <w:pPr>
        <w:spacing w:line="560" w:lineRule="exact"/>
        <w:rPr>
          <w:rFonts w:ascii="仿宋_GB2312" w:eastAsia="仿宋_GB2312"/>
          <w:color w:val="auto"/>
          <w:sz w:val="32"/>
          <w:szCs w:val="32"/>
          <w:highlight w:val="none"/>
        </w:rPr>
      </w:pPr>
    </w:p>
    <w:p>
      <w:pPr>
        <w:pageBreakBefore/>
        <w:jc w:val="center"/>
        <w:outlineLvl w:val="9"/>
        <w:rPr>
          <w:rFonts w:ascii="仿宋_GB2312" w:hAnsi="仿宋_GB2312" w:eastAsia="仿宋_GB2312" w:cs="仿宋_GB2312"/>
          <w:b/>
          <w:bCs/>
          <w:color w:val="auto"/>
          <w:kern w:val="44"/>
          <w:sz w:val="44"/>
          <w:szCs w:val="44"/>
          <w:highlight w:val="none"/>
        </w:rPr>
      </w:pPr>
      <w:bookmarkStart w:id="330" w:name="_Toc27854"/>
      <w:bookmarkStart w:id="331" w:name="_Toc9836"/>
      <w:bookmarkStart w:id="332" w:name="_Toc31436"/>
      <w:bookmarkStart w:id="333" w:name="_Toc3952"/>
      <w:bookmarkStart w:id="334" w:name="_Toc29472"/>
      <w:bookmarkStart w:id="335" w:name="_Toc23879"/>
      <w:bookmarkStart w:id="336" w:name="_Toc31235"/>
      <w:bookmarkStart w:id="337" w:name="_Toc17844"/>
      <w:bookmarkStart w:id="338" w:name="_Toc19149"/>
      <w:bookmarkStart w:id="339" w:name="_Toc28750"/>
      <w:bookmarkStart w:id="340" w:name="_Toc13593"/>
      <w:bookmarkStart w:id="341" w:name="_Toc9582"/>
      <w:bookmarkStart w:id="342" w:name="_Toc30065"/>
      <w:r>
        <w:rPr>
          <w:rFonts w:hint="eastAsia" w:ascii="仿宋_GB2312" w:hAnsi="仿宋_GB2312" w:eastAsia="仿宋_GB2312" w:cs="仿宋_GB2312"/>
          <w:b/>
          <w:bCs/>
          <w:color w:val="auto"/>
          <w:kern w:val="44"/>
          <w:sz w:val="44"/>
          <w:szCs w:val="44"/>
          <w:highlight w:val="none"/>
        </w:rPr>
        <w:t>目</w:t>
      </w:r>
      <w:r>
        <w:rPr>
          <w:rFonts w:ascii="仿宋_GB2312" w:hAnsi="仿宋_GB2312" w:eastAsia="仿宋_GB2312" w:cs="仿宋_GB2312"/>
          <w:b/>
          <w:bCs/>
          <w:color w:val="auto"/>
          <w:kern w:val="44"/>
          <w:sz w:val="44"/>
          <w:szCs w:val="44"/>
          <w:highlight w:val="none"/>
        </w:rPr>
        <w:t xml:space="preserve">  </w:t>
      </w:r>
      <w:r>
        <w:rPr>
          <w:rFonts w:hint="eastAsia" w:ascii="仿宋_GB2312" w:hAnsi="仿宋_GB2312" w:eastAsia="仿宋_GB2312" w:cs="仿宋_GB2312"/>
          <w:b/>
          <w:bCs/>
          <w:color w:val="auto"/>
          <w:kern w:val="44"/>
          <w:sz w:val="44"/>
          <w:szCs w:val="44"/>
          <w:highlight w:val="none"/>
        </w:rPr>
        <w:t>录</w:t>
      </w:r>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二、报价表</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三、供应商法定代表人身份证明书（格式）</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四、供应商法定代表人授权委托书（格式）</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五、资质文件</w:t>
      </w:r>
    </w:p>
    <w:p>
      <w:pPr>
        <w:spacing w:line="56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其他文件</w:t>
      </w:r>
    </w:p>
    <w:p>
      <w:pPr>
        <w:spacing w:line="560" w:lineRule="exact"/>
        <w:jc w:val="left"/>
        <w:outlineLvl w:val="9"/>
        <w:rPr>
          <w:rFonts w:hint="eastAsia" w:ascii="仿宋_GB2312" w:hAnsi="Times New Roman" w:eastAsia="仿宋_GB2312" w:cs="Times New Roman"/>
          <w:b w:val="0"/>
          <w:bCs w:val="0"/>
          <w:color w:val="auto"/>
          <w:kern w:val="2"/>
          <w:sz w:val="32"/>
          <w:szCs w:val="32"/>
          <w:highlight w:val="none"/>
        </w:rPr>
      </w:pPr>
      <w:r>
        <w:rPr>
          <w:rFonts w:hint="eastAsia" w:ascii="仿宋_GB2312" w:eastAsia="仿宋_GB2312" w:cs="Times New Roman"/>
          <w:b w:val="0"/>
          <w:bCs w:val="0"/>
          <w:color w:val="auto"/>
          <w:kern w:val="2"/>
          <w:sz w:val="32"/>
          <w:szCs w:val="32"/>
          <w:highlight w:val="none"/>
          <w:lang w:val="en-US" w:eastAsia="zh-CN"/>
        </w:rPr>
        <w:t>七</w:t>
      </w:r>
      <w:r>
        <w:rPr>
          <w:rFonts w:hint="eastAsia" w:ascii="仿宋_GB2312" w:hAnsi="Times New Roman" w:eastAsia="仿宋_GB2312" w:cs="Times New Roman"/>
          <w:b w:val="0"/>
          <w:bCs w:val="0"/>
          <w:color w:val="auto"/>
          <w:kern w:val="2"/>
          <w:sz w:val="32"/>
          <w:szCs w:val="32"/>
          <w:highlight w:val="none"/>
        </w:rPr>
        <w:t>、供应商廉政保证书</w:t>
      </w:r>
    </w:p>
    <w:p>
      <w:pPr>
        <w:pageBreakBefore/>
        <w:spacing w:line="560" w:lineRule="exact"/>
        <w:jc w:val="center"/>
        <w:outlineLvl w:val="0"/>
        <w:rPr>
          <w:rFonts w:hint="eastAsia" w:ascii="仿宋_GB2312" w:hAnsi="仿宋_GB2312" w:eastAsia="仿宋_GB2312" w:cs="仿宋_GB2312"/>
          <w:b/>
          <w:bCs/>
          <w:color w:val="auto"/>
          <w:kern w:val="44"/>
          <w:sz w:val="44"/>
          <w:szCs w:val="44"/>
          <w:highlight w:val="none"/>
        </w:rPr>
      </w:pPr>
      <w:bookmarkStart w:id="343" w:name="_Toc9294"/>
      <w:bookmarkStart w:id="344" w:name="_Toc21265"/>
      <w:bookmarkStart w:id="345" w:name="_Toc24450"/>
      <w:bookmarkStart w:id="346" w:name="_Toc122750652"/>
      <w:bookmarkStart w:id="347" w:name="_Toc18384"/>
      <w:bookmarkStart w:id="348" w:name="_Toc16722"/>
      <w:bookmarkStart w:id="349" w:name="_Toc19055"/>
      <w:bookmarkStart w:id="350" w:name="_Toc2906"/>
      <w:bookmarkStart w:id="351" w:name="_Toc508286687"/>
      <w:bookmarkStart w:id="352" w:name="_Toc14919"/>
      <w:bookmarkStart w:id="353" w:name="_Toc6010"/>
      <w:bookmarkStart w:id="354" w:name="_Toc317"/>
      <w:bookmarkStart w:id="355" w:name="_Toc409439698"/>
      <w:bookmarkStart w:id="356" w:name="_Toc534883367"/>
      <w:bookmarkStart w:id="357" w:name="_Toc32112"/>
      <w:bookmarkStart w:id="358" w:name="_Toc15079"/>
      <w:bookmarkStart w:id="359" w:name="_Toc534883409"/>
      <w:bookmarkStart w:id="360" w:name="_Toc969"/>
      <w:bookmarkStart w:id="361" w:name="_Toc25313"/>
      <w:r>
        <w:rPr>
          <w:rFonts w:hint="eastAsia" w:ascii="仿宋_GB2312" w:hAnsi="仿宋_GB2312" w:eastAsia="仿宋_GB2312" w:cs="仿宋_GB2312"/>
          <w:b/>
          <w:bCs/>
          <w:color w:val="auto"/>
          <w:kern w:val="44"/>
          <w:sz w:val="44"/>
          <w:szCs w:val="44"/>
          <w:highlight w:val="none"/>
        </w:rPr>
        <w:t>一、报 价 函</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福路通资源循环（福建）有限公司</w:t>
      </w:r>
      <w:r>
        <w:rPr>
          <w:rFonts w:hint="eastAsia" w:ascii="仿宋_GB2312" w:eastAsia="仿宋_GB2312"/>
          <w:color w:val="auto"/>
          <w:sz w:val="32"/>
          <w:szCs w:val="32"/>
          <w:highlight w:val="none"/>
        </w:rPr>
        <w:t>：</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我方获悉贵单位需询价采购</w:t>
      </w:r>
      <w:r>
        <w:rPr>
          <w:rFonts w:hint="eastAsia" w:ascii="仿宋_GB2312" w:eastAsia="仿宋_GB2312"/>
          <w:color w:val="auto"/>
          <w:sz w:val="32"/>
          <w:szCs w:val="32"/>
          <w:highlight w:val="none"/>
          <w:u w:val="single"/>
          <w:lang w:eastAsia="zh-CN"/>
        </w:rPr>
        <w:t>TS级可导向防撞垫原材料（不含梯度增强蜂窝部件）</w:t>
      </w:r>
      <w:r>
        <w:rPr>
          <w:rFonts w:hint="eastAsia" w:ascii="仿宋_GB2312" w:eastAsia="仿宋_GB2312"/>
          <w:color w:val="auto"/>
          <w:sz w:val="32"/>
          <w:szCs w:val="32"/>
          <w:highlight w:val="none"/>
        </w:rPr>
        <w:t>，经详细研究询价采购文件，决定参加该询价采购项目的报价。</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1.我方全面研究了询价采购文件，并能够正确理解和接受其全部内容。我方根据询价采购文件中的各项要求，对所询价采购</w:t>
      </w:r>
      <w:r>
        <w:rPr>
          <w:rFonts w:hint="eastAsia" w:ascii="仿宋_GB2312" w:eastAsia="仿宋_GB2312"/>
          <w:color w:val="auto"/>
          <w:sz w:val="32"/>
          <w:szCs w:val="32"/>
          <w:highlight w:val="none"/>
          <w:lang w:val="en-US" w:eastAsia="zh-CN"/>
        </w:rPr>
        <w:t>TS可导向防撞垫原材料</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我方愿以人民币</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（大写</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）元费用价完成</w:t>
      </w:r>
      <w:r>
        <w:rPr>
          <w:rFonts w:hint="eastAsia" w:ascii="仿宋_GB2312" w:eastAsia="仿宋_GB2312"/>
          <w:color w:val="auto"/>
          <w:sz w:val="32"/>
          <w:szCs w:val="32"/>
          <w:highlight w:val="none"/>
          <w:lang w:val="en-US" w:eastAsia="zh-CN"/>
        </w:rPr>
        <w:t>购销</w:t>
      </w:r>
      <w:r>
        <w:rPr>
          <w:rFonts w:hint="eastAsia" w:ascii="仿宋_GB2312" w:eastAsia="仿宋_GB2312"/>
          <w:color w:val="auto"/>
          <w:sz w:val="32"/>
          <w:szCs w:val="32"/>
          <w:highlight w:val="none"/>
        </w:rPr>
        <w:t>服务。</w:t>
      </w:r>
    </w:p>
    <w:p>
      <w:pPr>
        <w:spacing w:line="560" w:lineRule="exact"/>
        <w:ind w:firstLine="640" w:firstLineChars="200"/>
        <w:rPr>
          <w:rFonts w:ascii="仿宋_GB2312" w:eastAsia="仿宋_GB2312"/>
          <w:color w:val="auto"/>
          <w:sz w:val="32"/>
          <w:szCs w:val="32"/>
          <w:highlight w:val="none"/>
        </w:rPr>
      </w:pPr>
      <w:bookmarkStart w:id="362" w:name="_Toc8363"/>
      <w:bookmarkStart w:id="363" w:name="_Toc10539"/>
      <w:r>
        <w:rPr>
          <w:rFonts w:hint="eastAsia" w:ascii="仿宋_GB2312" w:eastAsia="仿宋_GB2312"/>
          <w:color w:val="auto"/>
          <w:sz w:val="32"/>
          <w:szCs w:val="32"/>
          <w:highlight w:val="none"/>
        </w:rPr>
        <w:t>2.我方现提交的响应文件为：响应文件正本一份，副本一份。</w:t>
      </w:r>
      <w:bookmarkEnd w:id="362"/>
      <w:bookmarkEnd w:id="363"/>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3.我方完全同意询价采购文件中规定的评审办法；愿意自行承担我方在参与此次报价活动过程中所发生的一切费用。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4.如果我方中选成交，我方将履行询价采购文件中规定的各项要求，按《中华人民共和国民法典》和合同约定条款承担我方的责任。</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5.我方愿意接收询价采购人在询价采购文件中要求的所有资料，并对其真实性负责。</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供应商法定代表人               供应商：（公章）</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或其授权委托人：（签字） </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地址： </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电话：                    日期：2025年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pPr>
        <w:keepNext/>
        <w:keepLines/>
        <w:widowControl w:val="0"/>
        <w:tabs>
          <w:tab w:val="left" w:pos="720"/>
        </w:tabs>
        <w:spacing w:before="260" w:after="260" w:line="560" w:lineRule="exact"/>
        <w:jc w:val="both"/>
        <w:outlineLvl w:val="9"/>
        <w:rPr>
          <w:rFonts w:hint="eastAsia" w:ascii="宋体" w:hAnsi="宋体" w:eastAsia="宋体" w:cs="Times New Roman"/>
          <w:b/>
          <w:bCs/>
          <w:color w:val="auto"/>
          <w:kern w:val="0"/>
          <w:sz w:val="28"/>
          <w:szCs w:val="32"/>
          <w:highlight w:val="none"/>
          <w:lang w:val="en-US" w:eastAsia="zh-CN" w:bidi="ar-SA"/>
        </w:rPr>
        <w:sectPr>
          <w:footerReference r:id="rId4" w:type="default"/>
          <w:pgSz w:w="11906" w:h="16838"/>
          <w:pgMar w:top="1701" w:right="1474" w:bottom="1134" w:left="1588" w:header="851" w:footer="992" w:gutter="0"/>
          <w:pgNumType w:fmt="numberInDash"/>
          <w:cols w:space="720" w:num="1"/>
          <w:docGrid w:type="lines" w:linePitch="312" w:charSpace="0"/>
        </w:sectPr>
      </w:pPr>
      <w:bookmarkStart w:id="364" w:name="_Toc409439699"/>
      <w:bookmarkStart w:id="365" w:name="_Toc122257631"/>
      <w:bookmarkStart w:id="366" w:name="_Toc508286688"/>
      <w:bookmarkStart w:id="367" w:name="_Toc534883368"/>
      <w:bookmarkStart w:id="368" w:name="_Toc122750653"/>
      <w:bookmarkStart w:id="369" w:name="_Toc534883410"/>
    </w:p>
    <w:bookmarkEnd w:id="364"/>
    <w:bookmarkEnd w:id="365"/>
    <w:bookmarkEnd w:id="366"/>
    <w:bookmarkEnd w:id="367"/>
    <w:bookmarkEnd w:id="368"/>
    <w:bookmarkEnd w:id="369"/>
    <w:p>
      <w:pPr>
        <w:keepNext w:val="0"/>
        <w:keepLines w:val="0"/>
        <w:pageBreakBefore/>
        <w:widowControl w:val="0"/>
        <w:numPr>
          <w:ilvl w:val="0"/>
          <w:numId w:val="2"/>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kern w:val="44"/>
          <w:sz w:val="44"/>
          <w:szCs w:val="44"/>
          <w:highlight w:val="none"/>
        </w:rPr>
      </w:pPr>
      <w:bookmarkStart w:id="370" w:name="_Toc31915"/>
      <w:bookmarkStart w:id="371" w:name="_Toc28569"/>
      <w:bookmarkStart w:id="372" w:name="_Toc16574"/>
      <w:bookmarkStart w:id="373" w:name="_Toc16674"/>
      <w:bookmarkStart w:id="374" w:name="_Toc5375"/>
      <w:bookmarkStart w:id="375" w:name="_Toc23211"/>
      <w:bookmarkStart w:id="376" w:name="_Toc2099"/>
      <w:bookmarkStart w:id="377" w:name="_Toc12979"/>
      <w:bookmarkStart w:id="378" w:name="_Toc3187"/>
      <w:bookmarkStart w:id="379" w:name="_Toc28199"/>
      <w:bookmarkStart w:id="380" w:name="_Toc13378"/>
      <w:bookmarkStart w:id="381" w:name="_Toc9680"/>
      <w:bookmarkStart w:id="382" w:name="_Toc23506"/>
      <w:bookmarkStart w:id="383" w:name="_Toc16543"/>
      <w:r>
        <w:rPr>
          <w:rFonts w:hint="eastAsia" w:ascii="仿宋_GB2312" w:hAnsi="仿宋_GB2312" w:eastAsia="仿宋_GB2312" w:cs="仿宋_GB2312"/>
          <w:b/>
          <w:bCs/>
          <w:color w:val="auto"/>
          <w:kern w:val="44"/>
          <w:sz w:val="44"/>
          <w:szCs w:val="44"/>
          <w:highlight w:val="none"/>
        </w:rPr>
        <w:t>报 价 表</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4" w:name="_Toc409439700"/>
      <w:bookmarkStart w:id="385" w:name="_Toc122257633"/>
      <w:bookmarkStart w:id="386" w:name="_Toc122750655"/>
      <w:bookmarkStart w:id="387" w:name="_Toc287002972"/>
    </w:p>
    <w:p>
      <w:pPr>
        <w:pStyle w:val="2"/>
        <w:numPr>
          <w:ilvl w:val="0"/>
          <w:numId w:val="0"/>
        </w:numPr>
        <w:rPr>
          <w:rFonts w:hint="eastAsia"/>
          <w:color w:val="auto"/>
          <w:highlight w:val="none"/>
        </w:rPr>
      </w:pPr>
    </w:p>
    <w:p>
      <w:pPr>
        <w:pStyle w:val="2"/>
        <w:numPr>
          <w:ilvl w:val="0"/>
          <w:numId w:val="0"/>
        </w:numPr>
        <w:rPr>
          <w:rFonts w:hint="eastAsia"/>
          <w:color w:val="auto"/>
          <w:highlight w:val="none"/>
        </w:rPr>
      </w:pPr>
    </w:p>
    <w:p>
      <w:pPr>
        <w:pStyle w:val="2"/>
        <w:numPr>
          <w:ilvl w:val="0"/>
          <w:numId w:val="0"/>
        </w:numPr>
        <w:rPr>
          <w:rFonts w:hint="eastAsia"/>
          <w:color w:val="auto"/>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color w:val="auto"/>
          <w:sz w:val="32"/>
          <w:szCs w:val="32"/>
          <w:highlight w:val="none"/>
        </w:rPr>
      </w:pP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3121"/>
        <w:gridCol w:w="873"/>
        <w:gridCol w:w="1936"/>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8"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序号</w:t>
            </w:r>
          </w:p>
        </w:tc>
        <w:tc>
          <w:tcPr>
            <w:tcW w:w="1691"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工程或费用名称</w:t>
            </w:r>
          </w:p>
        </w:tc>
        <w:tc>
          <w:tcPr>
            <w:tcW w:w="473"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单位</w:t>
            </w:r>
          </w:p>
        </w:tc>
        <w:tc>
          <w:tcPr>
            <w:tcW w:w="1048"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bookmarkStart w:id="388" w:name="OLE_LINK9"/>
            <w:r>
              <w:rPr>
                <w:rFonts w:hint="eastAsia" w:ascii="仿宋_GB2312" w:hAnsi="仿宋_GB2312" w:eastAsia="仿宋_GB2312" w:cs="仿宋_GB2312"/>
                <w:color w:val="auto"/>
                <w:kern w:val="0"/>
                <w:sz w:val="32"/>
                <w:szCs w:val="32"/>
                <w:highlight w:val="none"/>
                <w:lang w:bidi="ar"/>
              </w:rPr>
              <w:t>单价（元</w:t>
            </w:r>
            <w:r>
              <w:rPr>
                <w:rFonts w:hint="eastAsia" w:ascii="仿宋_GB2312" w:hAnsi="仿宋_GB2312" w:eastAsia="仿宋_GB2312" w:cs="仿宋_GB2312"/>
                <w:color w:val="auto"/>
                <w:kern w:val="0"/>
                <w:sz w:val="32"/>
                <w:szCs w:val="32"/>
                <w:highlight w:val="none"/>
                <w:lang w:val="en-US" w:eastAsia="zh-CN" w:bidi="ar"/>
              </w:rPr>
              <w:t>/套</w:t>
            </w:r>
            <w:r>
              <w:rPr>
                <w:rFonts w:hint="eastAsia" w:ascii="仿宋_GB2312" w:hAnsi="仿宋_GB2312" w:eastAsia="仿宋_GB2312" w:cs="仿宋_GB2312"/>
                <w:color w:val="auto"/>
                <w:kern w:val="0"/>
                <w:sz w:val="32"/>
                <w:szCs w:val="32"/>
                <w:highlight w:val="none"/>
                <w:lang w:bidi="ar"/>
              </w:rPr>
              <w:t>）</w:t>
            </w:r>
            <w:bookmarkEnd w:id="388"/>
          </w:p>
        </w:tc>
        <w:tc>
          <w:tcPr>
            <w:tcW w:w="1308"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8"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1</w:t>
            </w:r>
          </w:p>
        </w:tc>
        <w:tc>
          <w:tcPr>
            <w:tcW w:w="1691"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TS级可导向防撞垫原材料（不含梯度增强蜂窝部件）</w:t>
            </w:r>
          </w:p>
        </w:tc>
        <w:tc>
          <w:tcPr>
            <w:tcW w:w="473" w:type="pct"/>
            <w:noWrap w:val="0"/>
            <w:vAlign w:val="center"/>
          </w:tcPr>
          <w:p>
            <w:pPr>
              <w:widowControl/>
              <w:jc w:val="center"/>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套</w:t>
            </w:r>
          </w:p>
        </w:tc>
        <w:tc>
          <w:tcPr>
            <w:tcW w:w="1048" w:type="pct"/>
            <w:noWrap w:val="0"/>
            <w:vAlign w:val="center"/>
          </w:tcPr>
          <w:p>
            <w:pPr>
              <w:widowControl/>
              <w:jc w:val="center"/>
              <w:textAlignment w:val="center"/>
              <w:rPr>
                <w:rFonts w:hint="default" w:ascii="仿宋_GB2312" w:hAnsi="仿宋_GB2312" w:eastAsia="仿宋_GB2312" w:cs="仿宋_GB2312"/>
                <w:color w:val="auto"/>
                <w:sz w:val="32"/>
                <w:szCs w:val="32"/>
                <w:highlight w:val="none"/>
                <w:lang w:val="en-US" w:eastAsia="zh-CN"/>
              </w:rPr>
            </w:pPr>
          </w:p>
        </w:tc>
        <w:tc>
          <w:tcPr>
            <w:tcW w:w="1308" w:type="pct"/>
            <w:noWrap w:val="0"/>
            <w:vAlign w:val="center"/>
          </w:tcPr>
          <w:p>
            <w:pPr>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1" w:type="pct"/>
            <w:gridSpan w:val="4"/>
            <w:noWrap w:val="0"/>
            <w:vAlign w:val="center"/>
          </w:tcPr>
          <w:p>
            <w:pPr>
              <w:widowControl/>
              <w:jc w:val="center"/>
              <w:textAlignment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合计（含13%增值税）</w:t>
            </w:r>
          </w:p>
        </w:tc>
        <w:tc>
          <w:tcPr>
            <w:tcW w:w="1308" w:type="pct"/>
            <w:noWrap w:val="0"/>
            <w:vAlign w:val="center"/>
          </w:tcPr>
          <w:p>
            <w:pPr>
              <w:jc w:val="center"/>
              <w:rPr>
                <w:rFonts w:hint="eastAsia" w:ascii="仿宋_GB2312" w:hAnsi="仿宋_GB2312" w:eastAsia="仿宋_GB2312" w:cs="仿宋_GB2312"/>
                <w:color w:val="auto"/>
                <w:sz w:val="32"/>
                <w:szCs w:val="32"/>
                <w:highlight w:val="none"/>
              </w:rPr>
            </w:pPr>
          </w:p>
        </w:tc>
      </w:tr>
    </w:tbl>
    <w:p>
      <w:pPr>
        <w:pStyle w:val="77"/>
        <w:keepLines w:val="0"/>
        <w:spacing w:before="0" w:after="0" w:line="560" w:lineRule="exact"/>
        <w:ind w:left="0" w:firstLine="0"/>
        <w:jc w:val="both"/>
        <w:outlineLvl w:val="9"/>
        <w:rPr>
          <w:rFonts w:hint="eastAsia" w:ascii="仿宋" w:hAnsi="仿宋" w:eastAsia="仿宋" w:cs="仿宋"/>
          <w:color w:val="auto"/>
          <w:szCs w:val="32"/>
          <w:highlight w:val="none"/>
        </w:rPr>
      </w:pPr>
      <w:bookmarkStart w:id="389" w:name="_Toc501008753"/>
      <w:bookmarkStart w:id="390" w:name="_Toc500340445"/>
      <w:bookmarkStart w:id="391" w:name="_Toc500757156"/>
    </w:p>
    <w:p>
      <w:pPr>
        <w:pStyle w:val="77"/>
        <w:keepLines w:val="0"/>
        <w:spacing w:before="0" w:after="0" w:line="560" w:lineRule="exact"/>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 xml:space="preserve">       </w:t>
      </w:r>
      <w:r>
        <w:rPr>
          <w:rFonts w:hint="eastAsia" w:ascii="仿宋_GB2312" w:eastAsia="仿宋_GB2312"/>
          <w:color w:val="auto"/>
          <w:szCs w:val="32"/>
          <w:highlight w:val="none"/>
        </w:rPr>
        <w:t xml:space="preserve">   </w:t>
      </w:r>
      <w:bookmarkStart w:id="392" w:name="_Toc20079"/>
      <w:r>
        <w:rPr>
          <w:rFonts w:hint="eastAsia" w:ascii="仿宋_GB2312" w:hAnsi="仿宋_GB2312" w:eastAsia="仿宋_GB2312" w:cs="仿宋_GB2312"/>
          <w:color w:val="auto"/>
          <w:szCs w:val="32"/>
          <w:highlight w:val="none"/>
        </w:rPr>
        <w:t>供应商名称（全称并加盖公章）：</w:t>
      </w:r>
      <w:bookmarkEnd w:id="392"/>
      <w:r>
        <w:rPr>
          <w:rFonts w:hint="eastAsia" w:ascii="仿宋_GB2312" w:hAnsi="仿宋_GB2312" w:eastAsia="仿宋_GB2312" w:cs="仿宋_GB2312"/>
          <w:color w:val="auto"/>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393" w:name="_Toc17238"/>
      <w:r>
        <w:rPr>
          <w:rFonts w:hint="eastAsia" w:ascii="仿宋_GB2312" w:hAnsi="仿宋_GB2312" w:eastAsia="仿宋_GB2312" w:cs="仿宋_GB2312"/>
          <w:color w:val="auto"/>
          <w:szCs w:val="32"/>
          <w:highlight w:val="none"/>
        </w:rPr>
        <w:t>供应商代表签字：</w:t>
      </w:r>
      <w:bookmarkEnd w:id="393"/>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394" w:name="_Toc7295"/>
      <w:r>
        <w:rPr>
          <w:rFonts w:hint="eastAsia" w:ascii="仿宋_GB2312" w:hAnsi="仿宋_GB2312" w:eastAsia="仿宋_GB2312" w:cs="仿宋_GB2312"/>
          <w:color w:val="auto"/>
          <w:szCs w:val="32"/>
          <w:highlight w:val="none"/>
        </w:rPr>
        <w:t>日期：   年   月   日</w:t>
      </w:r>
      <w:bookmarkEnd w:id="394"/>
    </w:p>
    <w:bookmarkEnd w:id="389"/>
    <w:bookmarkEnd w:id="390"/>
    <w:bookmarkEnd w:id="391"/>
    <w:p>
      <w:pPr>
        <w:pStyle w:val="77"/>
        <w:keepLines w:val="0"/>
        <w:spacing w:before="0" w:after="0" w:line="560" w:lineRule="exact"/>
        <w:ind w:left="0" w:firstLine="4800" w:firstLineChars="1500"/>
        <w:jc w:val="both"/>
        <w:outlineLvl w:val="9"/>
        <w:rPr>
          <w:rFonts w:hint="eastAsia" w:ascii="仿宋_GB2312" w:hAnsi="仿宋_GB2312" w:eastAsia="仿宋_GB2312" w:cs="仿宋_GB2312"/>
          <w:color w:val="auto"/>
          <w:szCs w:val="32"/>
          <w:highlight w:val="none"/>
        </w:rPr>
      </w:pPr>
    </w:p>
    <w:p>
      <w:pPr>
        <w:pStyle w:val="77"/>
        <w:keepLines w:val="0"/>
        <w:spacing w:before="0" w:after="0" w:line="560" w:lineRule="exact"/>
        <w:jc w:val="both"/>
        <w:outlineLvl w:val="9"/>
        <w:rPr>
          <w:rFonts w:hint="eastAsia" w:ascii="宋体" w:hAnsi="宋体" w:eastAsia="宋体"/>
          <w:color w:val="auto"/>
          <w:sz w:val="21"/>
          <w:szCs w:val="21"/>
          <w:highlight w:val="none"/>
          <w:u w:val="single"/>
        </w:rPr>
      </w:pPr>
      <w:r>
        <w:rPr>
          <w:rFonts w:hint="eastAsia" w:ascii="仿宋_GB2312" w:hAnsi="仿宋_GB2312" w:eastAsia="仿宋_GB2312" w:cs="仿宋_GB2312"/>
          <w:color w:val="auto"/>
          <w:szCs w:val="32"/>
          <w:highlight w:val="none"/>
        </w:rPr>
        <w:t xml:space="preserve"> </w:t>
      </w:r>
    </w:p>
    <w:p>
      <w:pPr>
        <w:pStyle w:val="77"/>
        <w:keepLines w:val="0"/>
        <w:spacing w:before="0" w:after="0" w:line="560" w:lineRule="exact"/>
        <w:ind w:left="0" w:firstLine="0"/>
        <w:jc w:val="both"/>
        <w:outlineLvl w:val="9"/>
        <w:rPr>
          <w:rFonts w:hint="eastAsia" w:ascii="宋体" w:hAnsi="宋体" w:eastAsia="宋体"/>
          <w:color w:val="auto"/>
          <w:sz w:val="21"/>
          <w:szCs w:val="21"/>
          <w:highlight w:val="none"/>
          <w:u w:val="single"/>
        </w:rPr>
        <w:sectPr>
          <w:pgSz w:w="11906" w:h="16838"/>
          <w:pgMar w:top="1418" w:right="1418" w:bottom="964" w:left="1474" w:header="851" w:footer="992" w:gutter="0"/>
          <w:pgNumType w:fmt="numberInDash"/>
          <w:cols w:space="720" w:num="1"/>
          <w:docGrid w:linePitch="312" w:charSpace="0"/>
        </w:sectPr>
      </w:pPr>
    </w:p>
    <w:bookmarkEnd w:id="384"/>
    <w:bookmarkEnd w:id="385"/>
    <w:bookmarkEnd w:id="386"/>
    <w:bookmarkEnd w:id="387"/>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eastAsia="黑体"/>
          <w:color w:val="auto"/>
          <w:kern w:val="44"/>
          <w:sz w:val="32"/>
          <w:szCs w:val="44"/>
          <w:highlight w:val="none"/>
        </w:rPr>
      </w:pPr>
      <w:bookmarkStart w:id="395" w:name="_Toc279"/>
      <w:bookmarkStart w:id="396" w:name="_Toc20442"/>
      <w:bookmarkStart w:id="397" w:name="_Toc23747"/>
      <w:bookmarkStart w:id="398" w:name="_Toc4779"/>
      <w:bookmarkStart w:id="399" w:name="_Toc3014"/>
      <w:bookmarkStart w:id="400" w:name="_Toc122257637"/>
      <w:bookmarkStart w:id="401" w:name="_Toc22675"/>
      <w:bookmarkStart w:id="402" w:name="_Toc10657"/>
      <w:bookmarkStart w:id="403" w:name="_Toc534883411"/>
      <w:bookmarkStart w:id="404" w:name="_Toc22468"/>
      <w:bookmarkStart w:id="405" w:name="_Toc508286689"/>
      <w:bookmarkStart w:id="406" w:name="_Toc1153"/>
      <w:bookmarkStart w:id="407" w:name="_Toc17766"/>
      <w:bookmarkStart w:id="408" w:name="_Toc409439702"/>
      <w:bookmarkStart w:id="409" w:name="_Toc18674"/>
      <w:bookmarkStart w:id="410" w:name="_Toc122750660"/>
      <w:bookmarkStart w:id="411" w:name="_Toc534883369"/>
      <w:bookmarkStart w:id="412" w:name="_Toc23113"/>
      <w:bookmarkStart w:id="413" w:name="_Toc20059"/>
      <w:bookmarkStart w:id="414" w:name="_Toc25725"/>
      <w:r>
        <w:rPr>
          <w:rFonts w:hint="eastAsia" w:ascii="仿宋_GB2312" w:hAnsi="仿宋_GB2312" w:eastAsia="仿宋_GB2312" w:cs="仿宋_GB2312"/>
          <w:b/>
          <w:bCs/>
          <w:color w:val="auto"/>
          <w:kern w:val="44"/>
          <w:sz w:val="44"/>
          <w:szCs w:val="44"/>
          <w:highlight w:val="none"/>
        </w:rPr>
        <w:t>三、供应商法定代表人身份证明书</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福路通资源循环（福建）有限公司</w:t>
      </w:r>
      <w:r>
        <w:rPr>
          <w:rFonts w:hint="eastAsia" w:ascii="仿宋_GB2312" w:eastAsia="仿宋_GB2312"/>
          <w:color w:val="auto"/>
          <w:sz w:val="32"/>
          <w:szCs w:val="32"/>
          <w:highlight w:val="none"/>
        </w:rPr>
        <w:t>：</w:t>
      </w:r>
    </w:p>
    <w:p>
      <w:pPr>
        <w:spacing w:line="560" w:lineRule="exact"/>
        <w:ind w:firstLine="800" w:firstLineChars="250"/>
        <w:rPr>
          <w:rFonts w:ascii="仿宋_GB2312" w:eastAsia="仿宋_GB2312"/>
          <w:color w:val="auto"/>
          <w:sz w:val="32"/>
          <w:szCs w:val="32"/>
          <w:highlight w:val="none"/>
          <w:u w:val="single"/>
        </w:rPr>
      </w:pPr>
    </w:p>
    <w:p>
      <w:pPr>
        <w:spacing w:line="560" w:lineRule="exact"/>
        <w:ind w:firstLine="960" w:firstLineChars="30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兹证明（法定代表人姓名，身份证号）</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u w:val="single"/>
        </w:rPr>
        <w:t xml:space="preserve">     （供应商名称）    </w:t>
      </w:r>
      <w:r>
        <w:rPr>
          <w:rFonts w:hint="eastAsia" w:ascii="仿宋_GB2312" w:eastAsia="仿宋_GB2312"/>
          <w:color w:val="auto"/>
          <w:sz w:val="32"/>
          <w:szCs w:val="32"/>
          <w:highlight w:val="none"/>
        </w:rPr>
        <w:t>的法定代表人，在我司担任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职务。</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pStyle w:val="77"/>
        <w:keepLines w:val="0"/>
        <w:spacing w:before="0" w:after="0" w:line="560" w:lineRule="exact"/>
        <w:outlineLvl w:val="9"/>
        <w:rPr>
          <w:rFonts w:hint="eastAsia" w:ascii="仿宋_GB2312" w:hAnsi="仿宋_GB2312" w:eastAsia="仿宋_GB2312" w:cs="仿宋_GB2312"/>
          <w:color w:val="auto"/>
          <w:szCs w:val="32"/>
          <w:highlight w:val="none"/>
        </w:rPr>
      </w:pPr>
      <w:r>
        <w:rPr>
          <w:rFonts w:hint="eastAsia" w:ascii="仿宋_GB2312" w:eastAsia="仿宋_GB2312"/>
          <w:color w:val="auto"/>
          <w:szCs w:val="32"/>
          <w:highlight w:val="none"/>
        </w:rPr>
        <w:t xml:space="preserve">           </w:t>
      </w:r>
      <w:bookmarkStart w:id="415" w:name="_Toc1560"/>
      <w:r>
        <w:rPr>
          <w:rFonts w:hint="eastAsia" w:ascii="仿宋_GB2312" w:hAnsi="仿宋_GB2312" w:eastAsia="仿宋_GB2312" w:cs="仿宋_GB2312"/>
          <w:color w:val="auto"/>
          <w:szCs w:val="32"/>
          <w:highlight w:val="none"/>
        </w:rPr>
        <w:t>供应商名称（全称并加盖公章）：</w:t>
      </w:r>
      <w:bookmarkEnd w:id="415"/>
      <w:r>
        <w:rPr>
          <w:rFonts w:hint="eastAsia" w:ascii="仿宋_GB2312" w:hAnsi="仿宋_GB2312" w:eastAsia="仿宋_GB2312" w:cs="仿宋_GB2312"/>
          <w:color w:val="auto"/>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416" w:name="_Toc21511"/>
      <w:r>
        <w:rPr>
          <w:rFonts w:hint="eastAsia" w:ascii="仿宋_GB2312" w:hAnsi="仿宋_GB2312" w:eastAsia="仿宋_GB2312" w:cs="仿宋_GB2312"/>
          <w:color w:val="auto"/>
          <w:szCs w:val="32"/>
          <w:highlight w:val="none"/>
        </w:rPr>
        <w:t>供应商代表签字：</w:t>
      </w:r>
      <w:bookmarkEnd w:id="416"/>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417" w:name="_Toc19511"/>
      <w:r>
        <w:rPr>
          <w:rFonts w:hint="eastAsia" w:ascii="仿宋_GB2312" w:hAnsi="仿宋_GB2312" w:eastAsia="仿宋_GB2312" w:cs="仿宋_GB2312"/>
          <w:color w:val="auto"/>
          <w:szCs w:val="32"/>
          <w:highlight w:val="none"/>
        </w:rPr>
        <w:t>日期：   年   月   日</w:t>
      </w:r>
      <w:bookmarkEnd w:id="417"/>
    </w:p>
    <w:p>
      <w:pPr>
        <w:pStyle w:val="77"/>
        <w:keepLines w:val="0"/>
        <w:spacing w:before="0" w:after="0" w:line="560" w:lineRule="exact"/>
        <w:ind w:left="0" w:firstLine="4800" w:firstLineChars="1500"/>
        <w:jc w:val="both"/>
        <w:outlineLvl w:val="9"/>
        <w:rPr>
          <w:rFonts w:hint="eastAsia" w:ascii="仿宋_GB2312" w:hAnsi="仿宋_GB2312" w:eastAsia="仿宋_GB2312" w:cs="仿宋_GB2312"/>
          <w:color w:val="auto"/>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bookmarkStart w:id="418" w:name="_Toc534883370"/>
      <w:bookmarkStart w:id="419" w:name="_Toc534883412"/>
      <w:bookmarkStart w:id="420" w:name="_Toc122750661"/>
      <w:bookmarkStart w:id="421" w:name="_Toc409439703"/>
      <w:bookmarkStart w:id="422" w:name="_Toc508286690"/>
      <w:bookmarkStart w:id="423" w:name="_Toc122257638"/>
      <w:r>
        <w:rPr>
          <w:rFonts w:hint="eastAsia" w:ascii="仿宋_GB2312" w:eastAsia="仿宋_GB2312"/>
          <w:color w:val="auto"/>
          <w:sz w:val="32"/>
          <w:szCs w:val="32"/>
          <w:highlight w:val="none"/>
        </w:rPr>
        <w:t xml:space="preserve">                   </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kern w:val="44"/>
          <w:sz w:val="44"/>
          <w:szCs w:val="44"/>
          <w:highlight w:val="none"/>
        </w:rPr>
      </w:pPr>
      <w:bookmarkStart w:id="424" w:name="_Toc11531"/>
      <w:bookmarkStart w:id="425" w:name="_Toc2959"/>
      <w:r>
        <w:rPr>
          <w:rFonts w:hint="eastAsia" w:ascii="仿宋_GB2312" w:hAnsi="仿宋_GB2312" w:eastAsia="仿宋_GB2312" w:cs="仿宋_GB2312"/>
          <w:b/>
          <w:bCs/>
          <w:color w:val="auto"/>
          <w:kern w:val="44"/>
          <w:sz w:val="44"/>
          <w:szCs w:val="44"/>
          <w:highlight w:val="none"/>
        </w:rPr>
        <w:t>（供应商法定代表人身份证复印件并盖章）</w:t>
      </w:r>
      <w:bookmarkEnd w:id="418"/>
      <w:bookmarkEnd w:id="419"/>
      <w:bookmarkEnd w:id="424"/>
      <w:bookmarkEnd w:id="425"/>
      <w:bookmarkStart w:id="426" w:name="_Toc534883371"/>
      <w:bookmarkStart w:id="427" w:name="_Toc534883413"/>
    </w:p>
    <w:p>
      <w:pPr>
        <w:jc w:val="center"/>
        <w:rPr>
          <w:rFonts w:hint="eastAsia" w:ascii="仿宋_GB2312" w:hAnsi="仿宋_GB2312" w:eastAsia="仿宋_GB2312" w:cs="仿宋_GB2312"/>
          <w:b/>
          <w:bCs/>
          <w:color w:val="auto"/>
          <w:kern w:val="44"/>
          <w:sz w:val="44"/>
          <w:szCs w:val="44"/>
          <w:highlight w:val="none"/>
        </w:rPr>
      </w:pPr>
      <w:r>
        <w:rPr>
          <w:rFonts w:hint="eastAsia" w:ascii="仿宋_GB2312" w:hAnsi="仿宋_GB2312" w:eastAsia="仿宋_GB2312" w:cs="仿宋_GB2312"/>
          <w:b/>
          <w:bCs/>
          <w:color w:val="auto"/>
          <w:kern w:val="44"/>
          <w:sz w:val="44"/>
          <w:szCs w:val="44"/>
          <w:highlight w:val="none"/>
        </w:rPr>
        <w:br w:type="page"/>
      </w:r>
    </w:p>
    <w:p>
      <w:pPr>
        <w:spacing w:line="560" w:lineRule="exact"/>
        <w:jc w:val="center"/>
        <w:outlineLvl w:val="0"/>
        <w:rPr>
          <w:rFonts w:hint="eastAsia" w:ascii="仿宋_GB2312" w:hAnsi="仿宋_GB2312" w:eastAsia="仿宋_GB2312" w:cs="仿宋_GB2312"/>
          <w:b/>
          <w:bCs/>
          <w:color w:val="auto"/>
          <w:kern w:val="44"/>
          <w:sz w:val="44"/>
          <w:szCs w:val="44"/>
          <w:highlight w:val="none"/>
        </w:rPr>
      </w:pPr>
      <w:bookmarkStart w:id="428" w:name="_Toc30892"/>
      <w:bookmarkStart w:id="429" w:name="_Toc9094"/>
      <w:bookmarkStart w:id="430" w:name="_Toc28966"/>
      <w:bookmarkStart w:id="431" w:name="_Toc19752"/>
      <w:bookmarkStart w:id="432" w:name="_Toc15360"/>
      <w:bookmarkStart w:id="433" w:name="_Toc27266"/>
      <w:bookmarkStart w:id="434" w:name="_Toc26318"/>
      <w:bookmarkStart w:id="435" w:name="_Toc28281"/>
      <w:bookmarkStart w:id="436" w:name="_Toc179"/>
      <w:bookmarkStart w:id="437" w:name="_Toc32278"/>
      <w:bookmarkStart w:id="438" w:name="_Toc3228"/>
      <w:bookmarkStart w:id="439" w:name="_Toc11442"/>
      <w:bookmarkStart w:id="440" w:name="_Toc7407"/>
      <w:bookmarkStart w:id="441" w:name="_Toc27481"/>
      <w:r>
        <w:rPr>
          <w:rFonts w:hint="eastAsia" w:ascii="仿宋_GB2312" w:hAnsi="仿宋_GB2312" w:eastAsia="仿宋_GB2312" w:cs="仿宋_GB2312"/>
          <w:b/>
          <w:bCs/>
          <w:color w:val="auto"/>
          <w:kern w:val="44"/>
          <w:sz w:val="44"/>
          <w:szCs w:val="44"/>
          <w:highlight w:val="none"/>
        </w:rPr>
        <w:t>四、供应商法定代表人授权委托书</w:t>
      </w:r>
      <w:bookmarkEnd w:id="420"/>
      <w:bookmarkEnd w:id="421"/>
      <w:bookmarkEnd w:id="422"/>
      <w:bookmarkEnd w:id="423"/>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福路通资源循环（福建）有限公司</w:t>
      </w:r>
      <w:r>
        <w:rPr>
          <w:rFonts w:hint="eastAsia" w:ascii="仿宋_GB2312" w:eastAsia="仿宋_GB2312"/>
          <w:color w:val="auto"/>
          <w:sz w:val="32"/>
          <w:szCs w:val="32"/>
          <w:highlight w:val="none"/>
        </w:rPr>
        <w:t>：</w:t>
      </w:r>
    </w:p>
    <w:p>
      <w:pPr>
        <w:spacing w:line="560" w:lineRule="exact"/>
        <w:rPr>
          <w:rFonts w:ascii="仿宋_GB2312" w:eastAsia="仿宋_GB2312"/>
          <w:color w:val="auto"/>
          <w:sz w:val="32"/>
          <w:szCs w:val="32"/>
          <w:highlight w:val="none"/>
        </w:rPr>
      </w:pP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是中华人民共和国合法企业，法定地址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u w:val="single"/>
        </w:rPr>
        <w:t>（供应商法定代表人姓名）</w:t>
      </w:r>
      <w:r>
        <w:rPr>
          <w:rFonts w:hint="eastAsia" w:ascii="仿宋_GB2312" w:eastAsia="仿宋_GB2312"/>
          <w:color w:val="auto"/>
          <w:sz w:val="32"/>
          <w:szCs w:val="32"/>
          <w:highlight w:val="none"/>
        </w:rPr>
        <w:t>特授权</w:t>
      </w:r>
      <w:r>
        <w:rPr>
          <w:rFonts w:hint="eastAsia" w:ascii="仿宋_GB2312" w:eastAsia="仿宋_GB2312"/>
          <w:color w:val="auto"/>
          <w:sz w:val="32"/>
          <w:szCs w:val="32"/>
          <w:highlight w:val="none"/>
          <w:u w:val="single"/>
        </w:rPr>
        <w:t>（被授权人姓名及身份证号码）</w:t>
      </w:r>
      <w:r>
        <w:rPr>
          <w:rFonts w:hint="eastAsia" w:ascii="仿宋_GB2312" w:eastAsia="仿宋_GB2312"/>
          <w:color w:val="auto"/>
          <w:sz w:val="32"/>
          <w:szCs w:val="32"/>
          <w:highlight w:val="none"/>
        </w:rPr>
        <w:t>代表我单位全权办理对</w:t>
      </w:r>
      <w:r>
        <w:rPr>
          <w:rFonts w:hint="eastAsia" w:ascii="仿宋_GB2312" w:hAnsi="仿宋_GB2312" w:eastAsia="仿宋_GB2312" w:cs="仿宋_GB2312"/>
          <w:color w:val="auto"/>
          <w:sz w:val="32"/>
          <w:szCs w:val="32"/>
          <w:highlight w:val="none"/>
          <w:u w:val="single"/>
          <w:lang w:val="en-US" w:eastAsia="zh-CN"/>
        </w:rPr>
        <w:t>TS可导向防撞垫原材料</w:t>
      </w:r>
      <w:r>
        <w:rPr>
          <w:rFonts w:hint="eastAsia" w:ascii="仿宋_GB2312" w:eastAsia="仿宋_GB2312"/>
          <w:color w:val="auto"/>
          <w:sz w:val="32"/>
          <w:szCs w:val="32"/>
          <w:highlight w:val="none"/>
        </w:rPr>
        <w:t>的报价、签约等具体工作，并签署全部有关的文件、协议及合同。</w:t>
      </w:r>
    </w:p>
    <w:p>
      <w:pPr>
        <w:spacing w:line="56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我单位对被授权人的签名负全部责任。</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在撤销授权的书面通知以前，本授权书一直有效。被授权人签署的所有文件（在授权书有效期内签署的）不因授权的撤销而失效。</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被授权人：（签字）             </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供应商法定代表人：（签字并盖公章）</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仿宋_GB2312" w:hAnsi="仿宋_GB2312" w:eastAsia="仿宋_GB2312" w:cs="仿宋_GB2312"/>
          <w:b/>
          <w:bCs/>
          <w:color w:val="auto"/>
          <w:sz w:val="44"/>
          <w:szCs w:val="44"/>
          <w:highlight w:val="none"/>
        </w:rPr>
      </w:pPr>
      <w:bookmarkStart w:id="442" w:name="_Toc20925"/>
      <w:bookmarkStart w:id="443" w:name="_Toc11899"/>
      <w:bookmarkStart w:id="444" w:name="_Toc2201"/>
      <w:bookmarkStart w:id="445" w:name="_Toc4209"/>
      <w:r>
        <w:rPr>
          <w:rFonts w:hint="eastAsia" w:ascii="仿宋_GB2312" w:hAnsi="仿宋_GB2312" w:eastAsia="仿宋_GB2312" w:cs="仿宋_GB2312"/>
          <w:b/>
          <w:bCs/>
          <w:color w:val="auto"/>
          <w:kern w:val="44"/>
          <w:sz w:val="44"/>
          <w:szCs w:val="44"/>
          <w:highlight w:val="none"/>
        </w:rPr>
        <w:t>（供应商被授权人身份证复印件</w:t>
      </w:r>
      <w:bookmarkStart w:id="446" w:name="_Toc122750662"/>
      <w:bookmarkStart w:id="447" w:name="_Toc122257640"/>
      <w:bookmarkStart w:id="448" w:name="_Toc508286691"/>
      <w:bookmarkStart w:id="449" w:name="_Toc409439704"/>
      <w:r>
        <w:rPr>
          <w:rFonts w:hint="eastAsia" w:ascii="仿宋_GB2312" w:hAnsi="仿宋_GB2312" w:eastAsia="仿宋_GB2312" w:cs="仿宋_GB2312"/>
          <w:b/>
          <w:bCs/>
          <w:color w:val="auto"/>
          <w:kern w:val="44"/>
          <w:sz w:val="44"/>
          <w:szCs w:val="44"/>
          <w:highlight w:val="none"/>
        </w:rPr>
        <w:t>并盖章）</w:t>
      </w:r>
      <w:bookmarkEnd w:id="442"/>
      <w:bookmarkEnd w:id="443"/>
      <w:bookmarkEnd w:id="444"/>
      <w:bookmarkEnd w:id="445"/>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color w:val="auto"/>
          <w:sz w:val="44"/>
          <w:highlight w:val="none"/>
        </w:rPr>
      </w:pPr>
      <w:bookmarkStart w:id="450" w:name="_Toc5400"/>
      <w:bookmarkStart w:id="451" w:name="_Toc10390"/>
      <w:bookmarkStart w:id="452" w:name="_Toc18709"/>
      <w:bookmarkStart w:id="453" w:name="_Toc22403"/>
      <w:bookmarkStart w:id="454" w:name="_Toc21115"/>
      <w:bookmarkStart w:id="455" w:name="_Toc26202"/>
      <w:bookmarkStart w:id="456" w:name="_Toc18855"/>
      <w:bookmarkStart w:id="457" w:name="_Toc534883414"/>
      <w:bookmarkStart w:id="458" w:name="_Toc6452"/>
      <w:bookmarkStart w:id="459" w:name="_Toc23922"/>
      <w:bookmarkStart w:id="460" w:name="_Toc534883372"/>
      <w:bookmarkStart w:id="461" w:name="_Toc22524"/>
      <w:bookmarkStart w:id="462" w:name="_Toc22759"/>
      <w:bookmarkStart w:id="463" w:name="_Toc917"/>
      <w:bookmarkStart w:id="464" w:name="_Toc1898"/>
      <w:bookmarkStart w:id="465" w:name="_Toc201"/>
      <w:bookmarkStart w:id="466" w:name="OLE_LINK12"/>
      <w:r>
        <w:rPr>
          <w:rFonts w:hint="eastAsia" w:ascii="仿宋_GB2312" w:hAnsi="仿宋_GB2312" w:eastAsia="仿宋_GB2312" w:cs="仿宋_GB2312"/>
          <w:b/>
          <w:bCs/>
          <w:color w:val="auto"/>
          <w:kern w:val="44"/>
          <w:sz w:val="44"/>
          <w:szCs w:val="44"/>
          <w:highlight w:val="none"/>
        </w:rPr>
        <w:t>五、</w:t>
      </w:r>
      <w:bookmarkEnd w:id="446"/>
      <w:bookmarkEnd w:id="447"/>
      <w:r>
        <w:rPr>
          <w:rFonts w:hint="eastAsia" w:ascii="仿宋_GB2312" w:hAnsi="仿宋_GB2312" w:eastAsia="仿宋_GB2312" w:cs="仿宋_GB2312"/>
          <w:b/>
          <w:bCs/>
          <w:color w:val="auto"/>
          <w:kern w:val="44"/>
          <w:sz w:val="44"/>
          <w:szCs w:val="44"/>
          <w:highlight w:val="none"/>
        </w:rPr>
        <w:t>资质文件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29"/>
        <w:numPr>
          <w:ilvl w:val="255"/>
          <w:numId w:val="0"/>
        </w:numPr>
        <w:spacing w:line="560" w:lineRule="exact"/>
        <w:ind w:left="840" w:leftChars="400"/>
        <w:rPr>
          <w:rFonts w:hint="eastAsia"/>
          <w:color w:val="auto"/>
          <w:highlight w:val="none"/>
        </w:rPr>
      </w:pPr>
    </w:p>
    <w:bookmarkEnd w:id="466"/>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供应商需提供以下资质文件：</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有效的工商营业执照副本复印件、税务登记证副本复印件（或提供三证合一的工商营业执照副本复印件）</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w:t>
      </w:r>
      <w:bookmarkStart w:id="467" w:name="OLE_LINK13"/>
      <w:r>
        <w:rPr>
          <w:rFonts w:hint="eastAsia" w:ascii="仿宋_GB2312" w:eastAsia="仿宋_GB2312"/>
          <w:color w:val="auto"/>
          <w:sz w:val="32"/>
          <w:szCs w:val="32"/>
          <w:highlight w:val="none"/>
        </w:rPr>
        <w:t>复印件加盖公章</w:t>
      </w:r>
      <w:bookmarkEnd w:id="467"/>
      <w:r>
        <w:rPr>
          <w:rFonts w:hint="eastAsia" w:ascii="仿宋_GB2312" w:eastAsia="仿宋_GB2312"/>
          <w:color w:val="auto"/>
          <w:sz w:val="32"/>
          <w:szCs w:val="32"/>
          <w:highlight w:val="none"/>
        </w:rPr>
        <w:t>，装订为响应文件的一部分。</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br w:type="page"/>
      </w: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color w:val="auto"/>
          <w:kern w:val="44"/>
          <w:sz w:val="44"/>
          <w:szCs w:val="44"/>
          <w:highlight w:val="none"/>
        </w:rPr>
      </w:pPr>
      <w:bookmarkStart w:id="468" w:name="_Toc15993"/>
      <w:bookmarkStart w:id="469" w:name="_Toc14434"/>
      <w:bookmarkStart w:id="470" w:name="_Toc5331"/>
      <w:bookmarkStart w:id="471" w:name="_Toc17405"/>
      <w:bookmarkStart w:id="472" w:name="_Toc22981"/>
      <w:bookmarkStart w:id="473" w:name="_Toc28230"/>
      <w:bookmarkStart w:id="474" w:name="_Toc8818"/>
      <w:bookmarkStart w:id="475" w:name="_Toc31507"/>
      <w:bookmarkStart w:id="476" w:name="_Toc5528"/>
      <w:bookmarkStart w:id="477" w:name="_Toc3538"/>
      <w:bookmarkStart w:id="478" w:name="_Toc20229"/>
      <w:bookmarkStart w:id="479" w:name="_Toc29598"/>
      <w:bookmarkStart w:id="480" w:name="_Toc26328"/>
      <w:bookmarkStart w:id="481" w:name="_Toc21267"/>
      <w:bookmarkStart w:id="482" w:name="OLE_LINK15"/>
      <w:r>
        <w:rPr>
          <w:rFonts w:hint="eastAsia" w:ascii="仿宋_GB2312" w:hAnsi="仿宋_GB2312" w:eastAsia="仿宋_GB2312" w:cs="仿宋_GB2312"/>
          <w:b/>
          <w:bCs/>
          <w:color w:val="auto"/>
          <w:kern w:val="44"/>
          <w:sz w:val="44"/>
          <w:szCs w:val="44"/>
          <w:highlight w:val="none"/>
          <w:lang w:val="en-US" w:eastAsia="zh-CN"/>
        </w:rPr>
        <w:t>六</w:t>
      </w:r>
      <w:r>
        <w:rPr>
          <w:rFonts w:hint="eastAsia" w:ascii="仿宋_GB2312" w:hAnsi="仿宋_GB2312" w:eastAsia="仿宋_GB2312" w:cs="仿宋_GB2312"/>
          <w:b/>
          <w:bCs/>
          <w:color w:val="auto"/>
          <w:kern w:val="44"/>
          <w:sz w:val="44"/>
          <w:szCs w:val="44"/>
          <w:highlight w:val="none"/>
        </w:rPr>
        <w:t>、其他文件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bookmarkEnd w:id="482"/>
    <w:p>
      <w:pPr>
        <w:wordWrap w:val="0"/>
        <w:spacing w:line="560" w:lineRule="exact"/>
        <w:ind w:firstLine="640" w:firstLineChars="200"/>
        <w:rPr>
          <w:rFonts w:ascii="仿宋_GB2312" w:eastAsia="仿宋_GB2312"/>
          <w:color w:val="auto"/>
          <w:sz w:val="32"/>
          <w:szCs w:val="32"/>
          <w:highlight w:val="none"/>
        </w:rPr>
      </w:pPr>
    </w:p>
    <w:p>
      <w:pPr>
        <w:wordWrap w:val="0"/>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投标保证金（银行回执单，复印件加盖公章）</w:t>
      </w:r>
      <w:r>
        <w:rPr>
          <w:rFonts w:hint="eastAsia" w:ascii="仿宋_GB2312" w:eastAsia="仿宋_GB2312"/>
          <w:color w:val="auto"/>
          <w:sz w:val="32"/>
          <w:szCs w:val="32"/>
          <w:highlight w:val="none"/>
          <w:lang w:eastAsia="zh-CN"/>
        </w:rPr>
        <w:t>。</w:t>
      </w:r>
    </w:p>
    <w:p>
      <w:pPr>
        <w:numPr>
          <w:ilvl w:val="0"/>
          <w:numId w:val="0"/>
        </w:numPr>
        <w:wordWrap w:val="0"/>
        <w:spacing w:line="56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产品原材料合格证书及质检报告。</w:t>
      </w:r>
    </w:p>
    <w:p>
      <w:pPr>
        <w:numPr>
          <w:ilvl w:val="0"/>
          <w:numId w:val="0"/>
        </w:numPr>
        <w:wordWrap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wordWrap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.企业、法定代表人未被列入失信被执行人名单（应提供企业、企业法定代表人在中国执行信息公开网http://zxgk.court.gov.cn中“综合查询被执行人-全国法院”查询的信息（网页截图））。</w:t>
      </w:r>
    </w:p>
    <w:p>
      <w:pPr>
        <w:wordWrap w:val="0"/>
        <w:spacing w:line="560" w:lineRule="exact"/>
        <w:ind w:firstLine="640" w:firstLineChars="200"/>
        <w:rPr>
          <w:rFonts w:hint="eastAsia" w:ascii="仿宋_GB2312" w:hAnsi="仿宋_GB2312" w:eastAsia="仿宋_GB2312" w:cs="仿宋_GB2312"/>
          <w:color w:val="auto"/>
          <w:highlight w:val="none"/>
        </w:rPr>
      </w:pPr>
      <w:bookmarkStart w:id="483" w:name="_Toc9936"/>
      <w:bookmarkStart w:id="484" w:name="_Toc23094"/>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.供应商认为应提交的其他材料，可在此附件中提交。</w:t>
      </w:r>
      <w:bookmarkEnd w:id="483"/>
      <w:bookmarkEnd w:id="484"/>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color w:val="auto"/>
          <w:kern w:val="44"/>
          <w:sz w:val="44"/>
          <w:szCs w:val="44"/>
          <w:highlight w:val="none"/>
        </w:rPr>
      </w:pPr>
      <w:bookmarkStart w:id="485" w:name="_Toc6028"/>
      <w:bookmarkStart w:id="486" w:name="_Toc10848"/>
      <w:bookmarkStart w:id="487" w:name="_Toc26733"/>
      <w:bookmarkStart w:id="488" w:name="_Toc3644"/>
      <w:bookmarkStart w:id="489" w:name="_Toc28031"/>
      <w:bookmarkStart w:id="490" w:name="_Toc596"/>
      <w:bookmarkStart w:id="491" w:name="_Toc20128"/>
      <w:bookmarkStart w:id="492" w:name="_Toc24342"/>
      <w:bookmarkStart w:id="493" w:name="_Toc21651"/>
      <w:bookmarkStart w:id="494" w:name="_Toc5215"/>
      <w:bookmarkStart w:id="495" w:name="_Toc11413"/>
      <w:bookmarkStart w:id="496" w:name="_Toc2473"/>
      <w:bookmarkStart w:id="497" w:name="_Toc5232"/>
      <w:bookmarkStart w:id="498" w:name="_Toc968"/>
      <w:r>
        <w:rPr>
          <w:rFonts w:hint="eastAsia" w:ascii="仿宋_GB2312" w:hAnsi="仿宋_GB2312" w:eastAsia="仿宋_GB2312" w:cs="仿宋_GB2312"/>
          <w:b/>
          <w:bCs/>
          <w:color w:val="auto"/>
          <w:kern w:val="44"/>
          <w:sz w:val="44"/>
          <w:szCs w:val="44"/>
          <w:highlight w:val="none"/>
          <w:lang w:val="en-US" w:eastAsia="zh-CN"/>
        </w:rPr>
        <w:t>七</w:t>
      </w:r>
      <w:r>
        <w:rPr>
          <w:rFonts w:hint="eastAsia" w:ascii="仿宋_GB2312" w:hAnsi="仿宋_GB2312" w:eastAsia="仿宋_GB2312" w:cs="仿宋_GB2312"/>
          <w:b/>
          <w:bCs/>
          <w:color w:val="auto"/>
          <w:kern w:val="44"/>
          <w:sz w:val="44"/>
          <w:szCs w:val="44"/>
          <w:highlight w:val="none"/>
        </w:rPr>
        <w:t>、供应商廉政保证书</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560" w:lineRule="exact"/>
        <w:rPr>
          <w:rFonts w:hint="eastAsia" w:ascii="宋体" w:hAnsi="宋体"/>
          <w:b/>
          <w:bCs/>
          <w:color w:val="auto"/>
          <w:highlight w:val="none"/>
        </w:rPr>
      </w:pP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福路通资源循环（福建）有限公司</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为了积极配合贵公司进行</w:t>
      </w:r>
      <w:r>
        <w:rPr>
          <w:rFonts w:hint="eastAsia" w:ascii="仿宋_GB2312" w:hAnsi="仿宋_GB2312" w:eastAsia="仿宋_GB2312" w:cs="仿宋_GB2312"/>
          <w:color w:val="auto"/>
          <w:sz w:val="32"/>
          <w:szCs w:val="32"/>
          <w:highlight w:val="none"/>
          <w:u w:val="single"/>
          <w:lang w:val="en-US" w:eastAsia="zh-CN"/>
        </w:rPr>
        <w:t>TS可导向防撞垫原材料</w:t>
      </w:r>
      <w:r>
        <w:rPr>
          <w:rFonts w:hint="eastAsia" w:ascii="仿宋_GB2312" w:hAnsi="仿宋_GB2312" w:eastAsia="仿宋_GB2312" w:cs="仿宋_GB2312"/>
          <w:color w:val="auto"/>
          <w:sz w:val="32"/>
          <w:szCs w:val="32"/>
          <w:highlight w:val="none"/>
        </w:rPr>
        <w:t>询价工作，确保此次询价工作的公平、公正、公开，我们保证认真贯彻国家有关廉政和询价报价的有关规定，特向贵公司承诺如下事项：</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1.不以任何方式向采购人和询价</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的任何人赠送礼品、礼金及有价证券；</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2.不宴请采购人的任何人或请采购人的任何人参加高消费的娱乐活动以及旅游、考察、参观等；</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3.不以任何形式报销采购人的任何人以及亲友的各种票据及费用；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4.不进行可能影响报价公平、公正的任何活动；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5.如违反上述承诺，愿接受取消报价资格及其他任何形式的处理。</w:t>
      </w:r>
    </w:p>
    <w:p>
      <w:pPr>
        <w:spacing w:line="560" w:lineRule="exact"/>
        <w:rPr>
          <w:rFonts w:hint="eastAsia" w:ascii="仿宋_GB2312" w:hAnsi="仿宋_GB2312" w:eastAsia="仿宋_GB2312" w:cs="仿宋_GB2312"/>
          <w:color w:val="auto"/>
          <w:sz w:val="32"/>
          <w:szCs w:val="32"/>
          <w:highlight w:val="none"/>
        </w:rPr>
      </w:pPr>
    </w:p>
    <w:p>
      <w:pPr>
        <w:pStyle w:val="77"/>
        <w:keepLines w:val="0"/>
        <w:spacing w:before="0" w:after="0" w:line="560" w:lineRule="exact"/>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 xml:space="preserve">           </w:t>
      </w:r>
      <w:bookmarkStart w:id="499" w:name="_Toc30489"/>
      <w:r>
        <w:rPr>
          <w:rFonts w:hint="eastAsia" w:ascii="仿宋_GB2312" w:hAnsi="仿宋_GB2312" w:eastAsia="仿宋_GB2312" w:cs="仿宋_GB2312"/>
          <w:color w:val="auto"/>
          <w:szCs w:val="32"/>
          <w:highlight w:val="none"/>
        </w:rPr>
        <w:t>供应商名称（全称并加盖公章）：</w:t>
      </w:r>
      <w:bookmarkEnd w:id="499"/>
      <w:r>
        <w:rPr>
          <w:rFonts w:hint="eastAsia" w:ascii="仿宋_GB2312" w:hAnsi="仿宋_GB2312" w:eastAsia="仿宋_GB2312" w:cs="仿宋_GB2312"/>
          <w:color w:val="auto"/>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500" w:name="_Toc20433"/>
      <w:r>
        <w:rPr>
          <w:rFonts w:hint="eastAsia" w:ascii="仿宋_GB2312" w:hAnsi="仿宋_GB2312" w:eastAsia="仿宋_GB2312" w:cs="仿宋_GB2312"/>
          <w:color w:val="auto"/>
          <w:szCs w:val="32"/>
          <w:highlight w:val="none"/>
        </w:rPr>
        <w:t>供应商代表签字：</w:t>
      </w:r>
      <w:bookmarkEnd w:id="500"/>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color w:val="auto"/>
          <w:szCs w:val="32"/>
          <w:highlight w:val="none"/>
        </w:rPr>
      </w:pPr>
      <w:bookmarkStart w:id="501" w:name="_Toc16002"/>
      <w:r>
        <w:rPr>
          <w:rFonts w:hint="eastAsia" w:ascii="仿宋_GB2312" w:hAnsi="仿宋_GB2312" w:eastAsia="仿宋_GB2312" w:cs="仿宋_GB2312"/>
          <w:color w:val="auto"/>
          <w:szCs w:val="32"/>
          <w:highlight w:val="none"/>
        </w:rPr>
        <w:t>日期：   年   月   日</w:t>
      </w:r>
      <w:bookmarkEnd w:id="501"/>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sectPr>
      <w:pgSz w:w="11906" w:h="16838"/>
      <w:pgMar w:top="1701"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7B49FC-04CB-47FB-98A9-9A026CB98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41ECDF7-5625-48A8-9E45-1A288CC9E049}"/>
  </w:font>
  <w:font w:name="Cambria">
    <w:panose1 w:val="02040503050406030204"/>
    <w:charset w:val="00"/>
    <w:family w:val="roman"/>
    <w:pitch w:val="default"/>
    <w:sig w:usb0="E00006FF" w:usb1="420024FF" w:usb2="02000000" w:usb3="00000000" w:csb0="2000019F" w:csb1="00000000"/>
  </w:font>
  <w:font w:name="报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091B626D-E166-41AD-AC3F-8813D1CAD1EC}"/>
  </w:font>
  <w:font w:name="仿宋">
    <w:panose1 w:val="02010609060101010101"/>
    <w:charset w:val="86"/>
    <w:family w:val="modern"/>
    <w:pitch w:val="default"/>
    <w:sig w:usb0="800002BF" w:usb1="38CF7CFA" w:usb2="00000016" w:usb3="00000000" w:csb0="00040001" w:csb1="00000000"/>
    <w:embedRegular r:id="rId4" w:fontKey="{8889AF82-BFBB-4C91-960E-7E5A619322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pStyle w:val="7"/>
      <w:lvlText w:val="%1.%2.%3.%4.%5"/>
      <w:lvlJc w:val="left"/>
      <w:pPr>
        <w:tabs>
          <w:tab w:val="left" w:pos="1440"/>
        </w:tabs>
        <w:ind w:left="1008" w:hanging="1008"/>
      </w:pPr>
      <w:rPr>
        <w:rFonts w:hint="eastAsia"/>
      </w:rPr>
    </w:lvl>
    <w:lvl w:ilvl="5" w:tentative="0">
      <w:start w:val="1"/>
      <w:numFmt w:val="decimal"/>
      <w:pStyle w:val="8"/>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2AA33C4"/>
    <w:multiLevelType w:val="singleLevel"/>
    <w:tmpl w:val="12AA33C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Y5ZDhlOGQ2MGJmM2UwMjQ3NTdjZjE0YTA5ZjIifQ=="/>
  </w:docVars>
  <w:rsids>
    <w:rsidRoot w:val="00172A27"/>
    <w:rsid w:val="00000A21"/>
    <w:rsid w:val="000014E7"/>
    <w:rsid w:val="00005E43"/>
    <w:rsid w:val="00005FF7"/>
    <w:rsid w:val="0000754C"/>
    <w:rsid w:val="00010E3A"/>
    <w:rsid w:val="000120A7"/>
    <w:rsid w:val="000121AF"/>
    <w:rsid w:val="000147F5"/>
    <w:rsid w:val="00015E2E"/>
    <w:rsid w:val="0001672F"/>
    <w:rsid w:val="00017B7E"/>
    <w:rsid w:val="00021297"/>
    <w:rsid w:val="00025FAA"/>
    <w:rsid w:val="0002621F"/>
    <w:rsid w:val="00030EF4"/>
    <w:rsid w:val="00031E88"/>
    <w:rsid w:val="000342A8"/>
    <w:rsid w:val="000344BA"/>
    <w:rsid w:val="000345DB"/>
    <w:rsid w:val="0003529D"/>
    <w:rsid w:val="00036B7C"/>
    <w:rsid w:val="0003703F"/>
    <w:rsid w:val="000370A4"/>
    <w:rsid w:val="000443A5"/>
    <w:rsid w:val="000462EC"/>
    <w:rsid w:val="00046C4C"/>
    <w:rsid w:val="000522F8"/>
    <w:rsid w:val="000543DB"/>
    <w:rsid w:val="00055B78"/>
    <w:rsid w:val="00061053"/>
    <w:rsid w:val="000624A7"/>
    <w:rsid w:val="00064527"/>
    <w:rsid w:val="00064647"/>
    <w:rsid w:val="000658BC"/>
    <w:rsid w:val="00065EAD"/>
    <w:rsid w:val="000673A5"/>
    <w:rsid w:val="00071E4B"/>
    <w:rsid w:val="0007461E"/>
    <w:rsid w:val="00083DFF"/>
    <w:rsid w:val="00084138"/>
    <w:rsid w:val="00086EEB"/>
    <w:rsid w:val="000936C4"/>
    <w:rsid w:val="00094031"/>
    <w:rsid w:val="00095087"/>
    <w:rsid w:val="00095582"/>
    <w:rsid w:val="000A2284"/>
    <w:rsid w:val="000A2441"/>
    <w:rsid w:val="000A38A9"/>
    <w:rsid w:val="000A456E"/>
    <w:rsid w:val="000A50AE"/>
    <w:rsid w:val="000A51C8"/>
    <w:rsid w:val="000A537A"/>
    <w:rsid w:val="000B4573"/>
    <w:rsid w:val="000B66C7"/>
    <w:rsid w:val="000B7F72"/>
    <w:rsid w:val="000C039F"/>
    <w:rsid w:val="000C3592"/>
    <w:rsid w:val="000C3C22"/>
    <w:rsid w:val="000C766F"/>
    <w:rsid w:val="000D2185"/>
    <w:rsid w:val="000D472B"/>
    <w:rsid w:val="000D67FF"/>
    <w:rsid w:val="000E0CD0"/>
    <w:rsid w:val="000E1D23"/>
    <w:rsid w:val="000E2349"/>
    <w:rsid w:val="000E34DA"/>
    <w:rsid w:val="000E64D5"/>
    <w:rsid w:val="000F3C9C"/>
    <w:rsid w:val="000F3FFF"/>
    <w:rsid w:val="000F5BF9"/>
    <w:rsid w:val="000F60BA"/>
    <w:rsid w:val="000F76D0"/>
    <w:rsid w:val="001028A5"/>
    <w:rsid w:val="001119D3"/>
    <w:rsid w:val="00116A6E"/>
    <w:rsid w:val="00116B88"/>
    <w:rsid w:val="00121392"/>
    <w:rsid w:val="00122B8A"/>
    <w:rsid w:val="001256B9"/>
    <w:rsid w:val="00126F52"/>
    <w:rsid w:val="00130BFD"/>
    <w:rsid w:val="001317D7"/>
    <w:rsid w:val="0013209F"/>
    <w:rsid w:val="00132419"/>
    <w:rsid w:val="001329E6"/>
    <w:rsid w:val="001372C5"/>
    <w:rsid w:val="00137514"/>
    <w:rsid w:val="00140A92"/>
    <w:rsid w:val="00144674"/>
    <w:rsid w:val="0014545A"/>
    <w:rsid w:val="00146B2A"/>
    <w:rsid w:val="00147096"/>
    <w:rsid w:val="00157CDE"/>
    <w:rsid w:val="00163C84"/>
    <w:rsid w:val="00164318"/>
    <w:rsid w:val="001644A9"/>
    <w:rsid w:val="00166A9A"/>
    <w:rsid w:val="00167471"/>
    <w:rsid w:val="00171AC2"/>
    <w:rsid w:val="00172A27"/>
    <w:rsid w:val="0017310B"/>
    <w:rsid w:val="001773F9"/>
    <w:rsid w:val="001808E2"/>
    <w:rsid w:val="001839F4"/>
    <w:rsid w:val="00187E70"/>
    <w:rsid w:val="00192263"/>
    <w:rsid w:val="0019348A"/>
    <w:rsid w:val="00194A15"/>
    <w:rsid w:val="00194B84"/>
    <w:rsid w:val="0019748A"/>
    <w:rsid w:val="001A1919"/>
    <w:rsid w:val="001A228C"/>
    <w:rsid w:val="001A388D"/>
    <w:rsid w:val="001A573C"/>
    <w:rsid w:val="001A6598"/>
    <w:rsid w:val="001A7270"/>
    <w:rsid w:val="001A7548"/>
    <w:rsid w:val="001B182A"/>
    <w:rsid w:val="001B2073"/>
    <w:rsid w:val="001C0626"/>
    <w:rsid w:val="001C152E"/>
    <w:rsid w:val="001C16F8"/>
    <w:rsid w:val="001C1726"/>
    <w:rsid w:val="001D47DC"/>
    <w:rsid w:val="001D5025"/>
    <w:rsid w:val="001D54CE"/>
    <w:rsid w:val="001D6CFC"/>
    <w:rsid w:val="001D751F"/>
    <w:rsid w:val="001D7FA0"/>
    <w:rsid w:val="001E5B23"/>
    <w:rsid w:val="001F01CE"/>
    <w:rsid w:val="001F0F81"/>
    <w:rsid w:val="001F1817"/>
    <w:rsid w:val="001F2385"/>
    <w:rsid w:val="001F2769"/>
    <w:rsid w:val="00201C10"/>
    <w:rsid w:val="00201F4D"/>
    <w:rsid w:val="00202367"/>
    <w:rsid w:val="00203298"/>
    <w:rsid w:val="00204318"/>
    <w:rsid w:val="0020592C"/>
    <w:rsid w:val="002073A1"/>
    <w:rsid w:val="00210F78"/>
    <w:rsid w:val="00211CB8"/>
    <w:rsid w:val="00212D41"/>
    <w:rsid w:val="00215294"/>
    <w:rsid w:val="00215718"/>
    <w:rsid w:val="002162D5"/>
    <w:rsid w:val="0022063A"/>
    <w:rsid w:val="00222801"/>
    <w:rsid w:val="002234B7"/>
    <w:rsid w:val="0022765C"/>
    <w:rsid w:val="00231A17"/>
    <w:rsid w:val="00231EA8"/>
    <w:rsid w:val="0023718D"/>
    <w:rsid w:val="002402A3"/>
    <w:rsid w:val="00245548"/>
    <w:rsid w:val="002462A8"/>
    <w:rsid w:val="002469D5"/>
    <w:rsid w:val="00246C73"/>
    <w:rsid w:val="00252235"/>
    <w:rsid w:val="0025296E"/>
    <w:rsid w:val="002541D1"/>
    <w:rsid w:val="00254791"/>
    <w:rsid w:val="00254818"/>
    <w:rsid w:val="00254A05"/>
    <w:rsid w:val="00255A7C"/>
    <w:rsid w:val="002566AE"/>
    <w:rsid w:val="00260895"/>
    <w:rsid w:val="00262F25"/>
    <w:rsid w:val="00272247"/>
    <w:rsid w:val="0027242C"/>
    <w:rsid w:val="00280D4B"/>
    <w:rsid w:val="0028200E"/>
    <w:rsid w:val="00282DFB"/>
    <w:rsid w:val="00283427"/>
    <w:rsid w:val="00283448"/>
    <w:rsid w:val="00286C09"/>
    <w:rsid w:val="002879F3"/>
    <w:rsid w:val="0029245B"/>
    <w:rsid w:val="00293250"/>
    <w:rsid w:val="00295942"/>
    <w:rsid w:val="002A0963"/>
    <w:rsid w:val="002A19B9"/>
    <w:rsid w:val="002A5803"/>
    <w:rsid w:val="002A76AB"/>
    <w:rsid w:val="002B067C"/>
    <w:rsid w:val="002B3C11"/>
    <w:rsid w:val="002B587B"/>
    <w:rsid w:val="002B58A3"/>
    <w:rsid w:val="002B59D9"/>
    <w:rsid w:val="002B6923"/>
    <w:rsid w:val="002B798C"/>
    <w:rsid w:val="002C02BF"/>
    <w:rsid w:val="002C0F47"/>
    <w:rsid w:val="002C1A6A"/>
    <w:rsid w:val="002C5AB4"/>
    <w:rsid w:val="002C60C8"/>
    <w:rsid w:val="002D1B01"/>
    <w:rsid w:val="002D42B3"/>
    <w:rsid w:val="002D4A4E"/>
    <w:rsid w:val="002D5950"/>
    <w:rsid w:val="002E14B6"/>
    <w:rsid w:val="002E5B77"/>
    <w:rsid w:val="002F53F7"/>
    <w:rsid w:val="002F773E"/>
    <w:rsid w:val="002F7A0D"/>
    <w:rsid w:val="002F7FD6"/>
    <w:rsid w:val="00304DA8"/>
    <w:rsid w:val="00305C3A"/>
    <w:rsid w:val="00307653"/>
    <w:rsid w:val="00307B25"/>
    <w:rsid w:val="00314005"/>
    <w:rsid w:val="003146B5"/>
    <w:rsid w:val="0031499F"/>
    <w:rsid w:val="00321581"/>
    <w:rsid w:val="00322764"/>
    <w:rsid w:val="00322ED0"/>
    <w:rsid w:val="00325E4A"/>
    <w:rsid w:val="00326787"/>
    <w:rsid w:val="00333D0F"/>
    <w:rsid w:val="003363FD"/>
    <w:rsid w:val="00337270"/>
    <w:rsid w:val="003447CE"/>
    <w:rsid w:val="00345E79"/>
    <w:rsid w:val="003508B7"/>
    <w:rsid w:val="00352C0A"/>
    <w:rsid w:val="003558D9"/>
    <w:rsid w:val="0035590B"/>
    <w:rsid w:val="00355FEF"/>
    <w:rsid w:val="00357D0B"/>
    <w:rsid w:val="00360F07"/>
    <w:rsid w:val="00361A0E"/>
    <w:rsid w:val="0036317D"/>
    <w:rsid w:val="0036333A"/>
    <w:rsid w:val="00363841"/>
    <w:rsid w:val="003643CF"/>
    <w:rsid w:val="00364D47"/>
    <w:rsid w:val="00371DCD"/>
    <w:rsid w:val="00372068"/>
    <w:rsid w:val="0037405B"/>
    <w:rsid w:val="0039165E"/>
    <w:rsid w:val="00391844"/>
    <w:rsid w:val="0039244C"/>
    <w:rsid w:val="00394C13"/>
    <w:rsid w:val="00395FF0"/>
    <w:rsid w:val="003A0C62"/>
    <w:rsid w:val="003A4F33"/>
    <w:rsid w:val="003A65E4"/>
    <w:rsid w:val="003B049E"/>
    <w:rsid w:val="003B3B9F"/>
    <w:rsid w:val="003B70D7"/>
    <w:rsid w:val="003C01DD"/>
    <w:rsid w:val="003C12DA"/>
    <w:rsid w:val="003C543E"/>
    <w:rsid w:val="003C54A5"/>
    <w:rsid w:val="003C5ADE"/>
    <w:rsid w:val="003C70FE"/>
    <w:rsid w:val="003D0805"/>
    <w:rsid w:val="003D0907"/>
    <w:rsid w:val="003D1EC1"/>
    <w:rsid w:val="003D3D43"/>
    <w:rsid w:val="003D3FB8"/>
    <w:rsid w:val="003D6212"/>
    <w:rsid w:val="003D636D"/>
    <w:rsid w:val="003D651A"/>
    <w:rsid w:val="003E06C0"/>
    <w:rsid w:val="003E35ED"/>
    <w:rsid w:val="003E7337"/>
    <w:rsid w:val="003F2BFD"/>
    <w:rsid w:val="004008BC"/>
    <w:rsid w:val="0040274E"/>
    <w:rsid w:val="00407F21"/>
    <w:rsid w:val="00410084"/>
    <w:rsid w:val="00411004"/>
    <w:rsid w:val="00411F87"/>
    <w:rsid w:val="0041285B"/>
    <w:rsid w:val="00413C7B"/>
    <w:rsid w:val="00414474"/>
    <w:rsid w:val="00415DA2"/>
    <w:rsid w:val="00416443"/>
    <w:rsid w:val="00423E56"/>
    <w:rsid w:val="00424B80"/>
    <w:rsid w:val="00426BBB"/>
    <w:rsid w:val="0042795B"/>
    <w:rsid w:val="00427E30"/>
    <w:rsid w:val="004321D8"/>
    <w:rsid w:val="00432A6A"/>
    <w:rsid w:val="00437B90"/>
    <w:rsid w:val="00444C09"/>
    <w:rsid w:val="004451F8"/>
    <w:rsid w:val="00446A8B"/>
    <w:rsid w:val="004518F3"/>
    <w:rsid w:val="004526E9"/>
    <w:rsid w:val="004569EB"/>
    <w:rsid w:val="004609D1"/>
    <w:rsid w:val="0046163D"/>
    <w:rsid w:val="0046749E"/>
    <w:rsid w:val="004705C8"/>
    <w:rsid w:val="0047148B"/>
    <w:rsid w:val="00471C65"/>
    <w:rsid w:val="00472EC8"/>
    <w:rsid w:val="004737D7"/>
    <w:rsid w:val="00473895"/>
    <w:rsid w:val="00475D9C"/>
    <w:rsid w:val="00480662"/>
    <w:rsid w:val="00480D8B"/>
    <w:rsid w:val="00481406"/>
    <w:rsid w:val="00482745"/>
    <w:rsid w:val="0048466E"/>
    <w:rsid w:val="0048594F"/>
    <w:rsid w:val="00486324"/>
    <w:rsid w:val="00486553"/>
    <w:rsid w:val="004907AC"/>
    <w:rsid w:val="00490D3E"/>
    <w:rsid w:val="00491872"/>
    <w:rsid w:val="004960A6"/>
    <w:rsid w:val="00496A23"/>
    <w:rsid w:val="00496CBB"/>
    <w:rsid w:val="00497A93"/>
    <w:rsid w:val="004A1307"/>
    <w:rsid w:val="004A4727"/>
    <w:rsid w:val="004A6782"/>
    <w:rsid w:val="004B4D9D"/>
    <w:rsid w:val="004B6F9B"/>
    <w:rsid w:val="004B72E3"/>
    <w:rsid w:val="004C1828"/>
    <w:rsid w:val="004C18BA"/>
    <w:rsid w:val="004C3ED4"/>
    <w:rsid w:val="004C56FE"/>
    <w:rsid w:val="004C5A05"/>
    <w:rsid w:val="004C6406"/>
    <w:rsid w:val="004C6A02"/>
    <w:rsid w:val="004D10BE"/>
    <w:rsid w:val="004D1569"/>
    <w:rsid w:val="004D1660"/>
    <w:rsid w:val="004D6A0E"/>
    <w:rsid w:val="004D6F31"/>
    <w:rsid w:val="004D7253"/>
    <w:rsid w:val="004D7EE6"/>
    <w:rsid w:val="004E0F3E"/>
    <w:rsid w:val="004E33A3"/>
    <w:rsid w:val="004E434B"/>
    <w:rsid w:val="004E43CE"/>
    <w:rsid w:val="004E7FEF"/>
    <w:rsid w:val="004F4053"/>
    <w:rsid w:val="004F5F9C"/>
    <w:rsid w:val="00500D3F"/>
    <w:rsid w:val="00501AA3"/>
    <w:rsid w:val="00504AE8"/>
    <w:rsid w:val="00512E0E"/>
    <w:rsid w:val="00513940"/>
    <w:rsid w:val="00515861"/>
    <w:rsid w:val="00515FC8"/>
    <w:rsid w:val="005163B0"/>
    <w:rsid w:val="0051647C"/>
    <w:rsid w:val="0051746C"/>
    <w:rsid w:val="00520C8B"/>
    <w:rsid w:val="005211AF"/>
    <w:rsid w:val="00524200"/>
    <w:rsid w:val="00525F4A"/>
    <w:rsid w:val="005263E7"/>
    <w:rsid w:val="0052658B"/>
    <w:rsid w:val="00526B9A"/>
    <w:rsid w:val="005307F9"/>
    <w:rsid w:val="00530DEB"/>
    <w:rsid w:val="00531C60"/>
    <w:rsid w:val="005324DC"/>
    <w:rsid w:val="00533079"/>
    <w:rsid w:val="0053366D"/>
    <w:rsid w:val="00534F49"/>
    <w:rsid w:val="00540D2E"/>
    <w:rsid w:val="00543541"/>
    <w:rsid w:val="00543CBD"/>
    <w:rsid w:val="005450AB"/>
    <w:rsid w:val="005470BA"/>
    <w:rsid w:val="00554ABF"/>
    <w:rsid w:val="00554C1A"/>
    <w:rsid w:val="005571A3"/>
    <w:rsid w:val="005602CC"/>
    <w:rsid w:val="00561435"/>
    <w:rsid w:val="00564404"/>
    <w:rsid w:val="00565C3B"/>
    <w:rsid w:val="005735DF"/>
    <w:rsid w:val="00574698"/>
    <w:rsid w:val="00575138"/>
    <w:rsid w:val="00580BFE"/>
    <w:rsid w:val="005812D4"/>
    <w:rsid w:val="00581BCB"/>
    <w:rsid w:val="005822FB"/>
    <w:rsid w:val="0058283E"/>
    <w:rsid w:val="00582966"/>
    <w:rsid w:val="00590DCB"/>
    <w:rsid w:val="00591202"/>
    <w:rsid w:val="0059125A"/>
    <w:rsid w:val="00591F12"/>
    <w:rsid w:val="00592E35"/>
    <w:rsid w:val="005932DD"/>
    <w:rsid w:val="005946C6"/>
    <w:rsid w:val="005953B2"/>
    <w:rsid w:val="0059610E"/>
    <w:rsid w:val="005A0266"/>
    <w:rsid w:val="005A0B01"/>
    <w:rsid w:val="005A249B"/>
    <w:rsid w:val="005A26C9"/>
    <w:rsid w:val="005A4580"/>
    <w:rsid w:val="005A51A7"/>
    <w:rsid w:val="005A60B1"/>
    <w:rsid w:val="005A7F40"/>
    <w:rsid w:val="005B02F6"/>
    <w:rsid w:val="005B28F3"/>
    <w:rsid w:val="005B73DA"/>
    <w:rsid w:val="005C3552"/>
    <w:rsid w:val="005C4DAB"/>
    <w:rsid w:val="005C71C2"/>
    <w:rsid w:val="005D3900"/>
    <w:rsid w:val="005D3CD6"/>
    <w:rsid w:val="005D44F5"/>
    <w:rsid w:val="005D4579"/>
    <w:rsid w:val="005D46D8"/>
    <w:rsid w:val="005E0F8E"/>
    <w:rsid w:val="005E2199"/>
    <w:rsid w:val="005E232E"/>
    <w:rsid w:val="005E28BC"/>
    <w:rsid w:val="005E3712"/>
    <w:rsid w:val="005F00BC"/>
    <w:rsid w:val="005F4E58"/>
    <w:rsid w:val="005F5CF8"/>
    <w:rsid w:val="0060364D"/>
    <w:rsid w:val="00605819"/>
    <w:rsid w:val="00605A1C"/>
    <w:rsid w:val="00605B75"/>
    <w:rsid w:val="00605BBB"/>
    <w:rsid w:val="0060725F"/>
    <w:rsid w:val="00611752"/>
    <w:rsid w:val="00611CC3"/>
    <w:rsid w:val="006139D1"/>
    <w:rsid w:val="006146F0"/>
    <w:rsid w:val="006154AA"/>
    <w:rsid w:val="00617493"/>
    <w:rsid w:val="00621300"/>
    <w:rsid w:val="00621FB4"/>
    <w:rsid w:val="00623428"/>
    <w:rsid w:val="006253B4"/>
    <w:rsid w:val="00626C74"/>
    <w:rsid w:val="00630239"/>
    <w:rsid w:val="00632D64"/>
    <w:rsid w:val="0063440E"/>
    <w:rsid w:val="00636E14"/>
    <w:rsid w:val="006460E6"/>
    <w:rsid w:val="00646C63"/>
    <w:rsid w:val="00646FC0"/>
    <w:rsid w:val="006506F8"/>
    <w:rsid w:val="006579F3"/>
    <w:rsid w:val="006610A2"/>
    <w:rsid w:val="00663178"/>
    <w:rsid w:val="00663408"/>
    <w:rsid w:val="00663A3F"/>
    <w:rsid w:val="00664F1D"/>
    <w:rsid w:val="00665824"/>
    <w:rsid w:val="006703F2"/>
    <w:rsid w:val="006760C3"/>
    <w:rsid w:val="006802B8"/>
    <w:rsid w:val="00680E37"/>
    <w:rsid w:val="0068244C"/>
    <w:rsid w:val="0068320F"/>
    <w:rsid w:val="00686DCF"/>
    <w:rsid w:val="00687261"/>
    <w:rsid w:val="00691018"/>
    <w:rsid w:val="006924AD"/>
    <w:rsid w:val="00692C76"/>
    <w:rsid w:val="006932FB"/>
    <w:rsid w:val="0069341C"/>
    <w:rsid w:val="00695ACF"/>
    <w:rsid w:val="006A6B66"/>
    <w:rsid w:val="006A6B91"/>
    <w:rsid w:val="006B2771"/>
    <w:rsid w:val="006B64EA"/>
    <w:rsid w:val="006B6713"/>
    <w:rsid w:val="006B6AE3"/>
    <w:rsid w:val="006B7D3B"/>
    <w:rsid w:val="006B7FF4"/>
    <w:rsid w:val="006C15D5"/>
    <w:rsid w:val="006C23B1"/>
    <w:rsid w:val="006C3C10"/>
    <w:rsid w:val="006C474D"/>
    <w:rsid w:val="006C5332"/>
    <w:rsid w:val="006D088D"/>
    <w:rsid w:val="006D1D18"/>
    <w:rsid w:val="006D2F01"/>
    <w:rsid w:val="006E0B69"/>
    <w:rsid w:val="006E47D4"/>
    <w:rsid w:val="006E71FB"/>
    <w:rsid w:val="006F2CA1"/>
    <w:rsid w:val="006F349E"/>
    <w:rsid w:val="006F3C2D"/>
    <w:rsid w:val="006F7081"/>
    <w:rsid w:val="006F77B4"/>
    <w:rsid w:val="006F7C70"/>
    <w:rsid w:val="00700887"/>
    <w:rsid w:val="00702499"/>
    <w:rsid w:val="00702C08"/>
    <w:rsid w:val="00705BB7"/>
    <w:rsid w:val="007100D4"/>
    <w:rsid w:val="00712A21"/>
    <w:rsid w:val="00716084"/>
    <w:rsid w:val="0071722F"/>
    <w:rsid w:val="00717941"/>
    <w:rsid w:val="007200C5"/>
    <w:rsid w:val="00720A11"/>
    <w:rsid w:val="00721CE0"/>
    <w:rsid w:val="007243F6"/>
    <w:rsid w:val="007247DA"/>
    <w:rsid w:val="00725660"/>
    <w:rsid w:val="00725AB9"/>
    <w:rsid w:val="00726B20"/>
    <w:rsid w:val="00733992"/>
    <w:rsid w:val="007378B1"/>
    <w:rsid w:val="00740B44"/>
    <w:rsid w:val="007433E1"/>
    <w:rsid w:val="00743686"/>
    <w:rsid w:val="007442B2"/>
    <w:rsid w:val="007455AB"/>
    <w:rsid w:val="007469E0"/>
    <w:rsid w:val="00747365"/>
    <w:rsid w:val="00750302"/>
    <w:rsid w:val="00752A35"/>
    <w:rsid w:val="00765AE2"/>
    <w:rsid w:val="007665F0"/>
    <w:rsid w:val="0076774A"/>
    <w:rsid w:val="007730DF"/>
    <w:rsid w:val="007740E2"/>
    <w:rsid w:val="00776153"/>
    <w:rsid w:val="00776ED8"/>
    <w:rsid w:val="00777195"/>
    <w:rsid w:val="007818CB"/>
    <w:rsid w:val="00781C4A"/>
    <w:rsid w:val="00782E5D"/>
    <w:rsid w:val="007841B4"/>
    <w:rsid w:val="00785C88"/>
    <w:rsid w:val="0079067E"/>
    <w:rsid w:val="00791BBE"/>
    <w:rsid w:val="00792521"/>
    <w:rsid w:val="007934E2"/>
    <w:rsid w:val="00795358"/>
    <w:rsid w:val="00795CFB"/>
    <w:rsid w:val="00795EF3"/>
    <w:rsid w:val="007A0882"/>
    <w:rsid w:val="007A3B36"/>
    <w:rsid w:val="007A4AF4"/>
    <w:rsid w:val="007A5250"/>
    <w:rsid w:val="007B2C1D"/>
    <w:rsid w:val="007C0F26"/>
    <w:rsid w:val="007C27AC"/>
    <w:rsid w:val="007C2E0F"/>
    <w:rsid w:val="007C5070"/>
    <w:rsid w:val="007C6935"/>
    <w:rsid w:val="007D4F1E"/>
    <w:rsid w:val="007E0C60"/>
    <w:rsid w:val="007E127B"/>
    <w:rsid w:val="007E1465"/>
    <w:rsid w:val="007E431E"/>
    <w:rsid w:val="007E44E8"/>
    <w:rsid w:val="007F3164"/>
    <w:rsid w:val="007F752C"/>
    <w:rsid w:val="007F7FB7"/>
    <w:rsid w:val="008024E3"/>
    <w:rsid w:val="00802EC5"/>
    <w:rsid w:val="00802F52"/>
    <w:rsid w:val="00804C35"/>
    <w:rsid w:val="0080639A"/>
    <w:rsid w:val="00810CDD"/>
    <w:rsid w:val="00812F2A"/>
    <w:rsid w:val="00814A7B"/>
    <w:rsid w:val="00816F62"/>
    <w:rsid w:val="00820453"/>
    <w:rsid w:val="00822FE7"/>
    <w:rsid w:val="00824A89"/>
    <w:rsid w:val="008271B6"/>
    <w:rsid w:val="008307F6"/>
    <w:rsid w:val="00834260"/>
    <w:rsid w:val="0083697D"/>
    <w:rsid w:val="00836E5B"/>
    <w:rsid w:val="00837F38"/>
    <w:rsid w:val="00842B30"/>
    <w:rsid w:val="008443B2"/>
    <w:rsid w:val="00844972"/>
    <w:rsid w:val="00845D24"/>
    <w:rsid w:val="00846CA4"/>
    <w:rsid w:val="00850649"/>
    <w:rsid w:val="00853936"/>
    <w:rsid w:val="00857960"/>
    <w:rsid w:val="00857A25"/>
    <w:rsid w:val="00857C90"/>
    <w:rsid w:val="008611B6"/>
    <w:rsid w:val="00870E69"/>
    <w:rsid w:val="00871E7D"/>
    <w:rsid w:val="008763AC"/>
    <w:rsid w:val="008764AF"/>
    <w:rsid w:val="0087702C"/>
    <w:rsid w:val="00877413"/>
    <w:rsid w:val="008809D6"/>
    <w:rsid w:val="00882DEF"/>
    <w:rsid w:val="00883625"/>
    <w:rsid w:val="008846CF"/>
    <w:rsid w:val="0088535D"/>
    <w:rsid w:val="008859FB"/>
    <w:rsid w:val="00892370"/>
    <w:rsid w:val="0089783D"/>
    <w:rsid w:val="008A11C4"/>
    <w:rsid w:val="008A2AEA"/>
    <w:rsid w:val="008A2B51"/>
    <w:rsid w:val="008A5260"/>
    <w:rsid w:val="008A760A"/>
    <w:rsid w:val="008A7895"/>
    <w:rsid w:val="008B24A0"/>
    <w:rsid w:val="008B516B"/>
    <w:rsid w:val="008B57A2"/>
    <w:rsid w:val="008B7F38"/>
    <w:rsid w:val="008C0DEC"/>
    <w:rsid w:val="008C2A98"/>
    <w:rsid w:val="008C3EB1"/>
    <w:rsid w:val="008D1DCB"/>
    <w:rsid w:val="008D2B99"/>
    <w:rsid w:val="008D7FA3"/>
    <w:rsid w:val="008E1767"/>
    <w:rsid w:val="008E29B0"/>
    <w:rsid w:val="008E353E"/>
    <w:rsid w:val="008E7ECB"/>
    <w:rsid w:val="008F2134"/>
    <w:rsid w:val="008F5B04"/>
    <w:rsid w:val="008F5B08"/>
    <w:rsid w:val="008F6C9F"/>
    <w:rsid w:val="008F7064"/>
    <w:rsid w:val="008F72E8"/>
    <w:rsid w:val="0090343E"/>
    <w:rsid w:val="00904F72"/>
    <w:rsid w:val="00907D3D"/>
    <w:rsid w:val="00910C93"/>
    <w:rsid w:val="00912A80"/>
    <w:rsid w:val="00920BEC"/>
    <w:rsid w:val="00921B7C"/>
    <w:rsid w:val="00922018"/>
    <w:rsid w:val="00922062"/>
    <w:rsid w:val="009249FC"/>
    <w:rsid w:val="009265FA"/>
    <w:rsid w:val="0092756B"/>
    <w:rsid w:val="00931DD0"/>
    <w:rsid w:val="0093206D"/>
    <w:rsid w:val="00933358"/>
    <w:rsid w:val="0093374C"/>
    <w:rsid w:val="00937E6E"/>
    <w:rsid w:val="009412D3"/>
    <w:rsid w:val="00944A61"/>
    <w:rsid w:val="00946483"/>
    <w:rsid w:val="0096107D"/>
    <w:rsid w:val="00961386"/>
    <w:rsid w:val="00961AB7"/>
    <w:rsid w:val="00962CBC"/>
    <w:rsid w:val="00963952"/>
    <w:rsid w:val="009664F2"/>
    <w:rsid w:val="00967BE5"/>
    <w:rsid w:val="00970BF2"/>
    <w:rsid w:val="009735BD"/>
    <w:rsid w:val="00974146"/>
    <w:rsid w:val="00977301"/>
    <w:rsid w:val="00977375"/>
    <w:rsid w:val="00977C11"/>
    <w:rsid w:val="00987FE9"/>
    <w:rsid w:val="00990086"/>
    <w:rsid w:val="0099026B"/>
    <w:rsid w:val="009902DF"/>
    <w:rsid w:val="009907EF"/>
    <w:rsid w:val="00990C6C"/>
    <w:rsid w:val="0099154D"/>
    <w:rsid w:val="009918BF"/>
    <w:rsid w:val="00992D1B"/>
    <w:rsid w:val="009A0594"/>
    <w:rsid w:val="009A1666"/>
    <w:rsid w:val="009A2B2B"/>
    <w:rsid w:val="009A3C12"/>
    <w:rsid w:val="009A7A6A"/>
    <w:rsid w:val="009B0860"/>
    <w:rsid w:val="009B1188"/>
    <w:rsid w:val="009B2A65"/>
    <w:rsid w:val="009B5D87"/>
    <w:rsid w:val="009C5B3D"/>
    <w:rsid w:val="009C6098"/>
    <w:rsid w:val="009C7EDD"/>
    <w:rsid w:val="009D01E6"/>
    <w:rsid w:val="009D10E8"/>
    <w:rsid w:val="009D39A0"/>
    <w:rsid w:val="009D44E0"/>
    <w:rsid w:val="009D59D8"/>
    <w:rsid w:val="009E61CC"/>
    <w:rsid w:val="009E7A8B"/>
    <w:rsid w:val="009F4DFF"/>
    <w:rsid w:val="009F5156"/>
    <w:rsid w:val="009F75CF"/>
    <w:rsid w:val="009F7A52"/>
    <w:rsid w:val="00A024CF"/>
    <w:rsid w:val="00A02E7A"/>
    <w:rsid w:val="00A13C7C"/>
    <w:rsid w:val="00A13F65"/>
    <w:rsid w:val="00A145DB"/>
    <w:rsid w:val="00A1532A"/>
    <w:rsid w:val="00A15AC8"/>
    <w:rsid w:val="00A202A8"/>
    <w:rsid w:val="00A22CC0"/>
    <w:rsid w:val="00A23DAE"/>
    <w:rsid w:val="00A25212"/>
    <w:rsid w:val="00A304EB"/>
    <w:rsid w:val="00A345A1"/>
    <w:rsid w:val="00A37A06"/>
    <w:rsid w:val="00A42A05"/>
    <w:rsid w:val="00A44709"/>
    <w:rsid w:val="00A455B9"/>
    <w:rsid w:val="00A50D0A"/>
    <w:rsid w:val="00A525C1"/>
    <w:rsid w:val="00A52BBD"/>
    <w:rsid w:val="00A54F41"/>
    <w:rsid w:val="00A5623C"/>
    <w:rsid w:val="00A5625F"/>
    <w:rsid w:val="00A6303E"/>
    <w:rsid w:val="00A64A21"/>
    <w:rsid w:val="00A65558"/>
    <w:rsid w:val="00A66C57"/>
    <w:rsid w:val="00A67420"/>
    <w:rsid w:val="00A6794A"/>
    <w:rsid w:val="00A67A3A"/>
    <w:rsid w:val="00A700CA"/>
    <w:rsid w:val="00A71400"/>
    <w:rsid w:val="00A81C8C"/>
    <w:rsid w:val="00A90E95"/>
    <w:rsid w:val="00A921AB"/>
    <w:rsid w:val="00A92AFB"/>
    <w:rsid w:val="00A945E8"/>
    <w:rsid w:val="00A94633"/>
    <w:rsid w:val="00A96C2B"/>
    <w:rsid w:val="00AA7B53"/>
    <w:rsid w:val="00AB01F2"/>
    <w:rsid w:val="00AB3222"/>
    <w:rsid w:val="00AB49D5"/>
    <w:rsid w:val="00AB5D4B"/>
    <w:rsid w:val="00AB6D22"/>
    <w:rsid w:val="00AC1C06"/>
    <w:rsid w:val="00AD27A2"/>
    <w:rsid w:val="00AD3F63"/>
    <w:rsid w:val="00AE1B1F"/>
    <w:rsid w:val="00AE1DD9"/>
    <w:rsid w:val="00AE3B92"/>
    <w:rsid w:val="00AE6DE2"/>
    <w:rsid w:val="00AE7428"/>
    <w:rsid w:val="00AE7549"/>
    <w:rsid w:val="00AE77D0"/>
    <w:rsid w:val="00AE7F6A"/>
    <w:rsid w:val="00AF492E"/>
    <w:rsid w:val="00AF504D"/>
    <w:rsid w:val="00AF58C4"/>
    <w:rsid w:val="00AF67CC"/>
    <w:rsid w:val="00AF7CFF"/>
    <w:rsid w:val="00B022B0"/>
    <w:rsid w:val="00B04C06"/>
    <w:rsid w:val="00B0506C"/>
    <w:rsid w:val="00B05DB6"/>
    <w:rsid w:val="00B07E39"/>
    <w:rsid w:val="00B12467"/>
    <w:rsid w:val="00B16345"/>
    <w:rsid w:val="00B17590"/>
    <w:rsid w:val="00B17A91"/>
    <w:rsid w:val="00B21DCE"/>
    <w:rsid w:val="00B22A6C"/>
    <w:rsid w:val="00B23A5D"/>
    <w:rsid w:val="00B258D0"/>
    <w:rsid w:val="00B3174A"/>
    <w:rsid w:val="00B36E53"/>
    <w:rsid w:val="00B377F7"/>
    <w:rsid w:val="00B414AD"/>
    <w:rsid w:val="00B42449"/>
    <w:rsid w:val="00B43284"/>
    <w:rsid w:val="00B447EA"/>
    <w:rsid w:val="00B45A0F"/>
    <w:rsid w:val="00B46DEF"/>
    <w:rsid w:val="00B50C44"/>
    <w:rsid w:val="00B5223C"/>
    <w:rsid w:val="00B54311"/>
    <w:rsid w:val="00B662C1"/>
    <w:rsid w:val="00B678FB"/>
    <w:rsid w:val="00B71978"/>
    <w:rsid w:val="00B72B31"/>
    <w:rsid w:val="00B72CCD"/>
    <w:rsid w:val="00B73223"/>
    <w:rsid w:val="00B77FFC"/>
    <w:rsid w:val="00B83203"/>
    <w:rsid w:val="00B9074C"/>
    <w:rsid w:val="00B920D8"/>
    <w:rsid w:val="00B92DEB"/>
    <w:rsid w:val="00B934A4"/>
    <w:rsid w:val="00B94099"/>
    <w:rsid w:val="00B95903"/>
    <w:rsid w:val="00B95C28"/>
    <w:rsid w:val="00B977E3"/>
    <w:rsid w:val="00B97A22"/>
    <w:rsid w:val="00BA6308"/>
    <w:rsid w:val="00BA6930"/>
    <w:rsid w:val="00BB20FD"/>
    <w:rsid w:val="00BB3BFC"/>
    <w:rsid w:val="00BB6E15"/>
    <w:rsid w:val="00BC3A27"/>
    <w:rsid w:val="00BC64BF"/>
    <w:rsid w:val="00BC64F9"/>
    <w:rsid w:val="00BC74EC"/>
    <w:rsid w:val="00BC7FFD"/>
    <w:rsid w:val="00BD04B1"/>
    <w:rsid w:val="00BD2EA3"/>
    <w:rsid w:val="00BD2F3B"/>
    <w:rsid w:val="00BD3BEB"/>
    <w:rsid w:val="00BD4362"/>
    <w:rsid w:val="00BD6972"/>
    <w:rsid w:val="00BD6C5F"/>
    <w:rsid w:val="00BE2513"/>
    <w:rsid w:val="00BE2B59"/>
    <w:rsid w:val="00BE33B2"/>
    <w:rsid w:val="00BE3BB0"/>
    <w:rsid w:val="00BE3CDB"/>
    <w:rsid w:val="00BE7AA4"/>
    <w:rsid w:val="00BF18B9"/>
    <w:rsid w:val="00BF2C0A"/>
    <w:rsid w:val="00BF3015"/>
    <w:rsid w:val="00BF4D14"/>
    <w:rsid w:val="00C00F0D"/>
    <w:rsid w:val="00C03E55"/>
    <w:rsid w:val="00C06687"/>
    <w:rsid w:val="00C070AB"/>
    <w:rsid w:val="00C07385"/>
    <w:rsid w:val="00C079D6"/>
    <w:rsid w:val="00C07D18"/>
    <w:rsid w:val="00C14DE3"/>
    <w:rsid w:val="00C162D8"/>
    <w:rsid w:val="00C20B2A"/>
    <w:rsid w:val="00C21C71"/>
    <w:rsid w:val="00C21EF4"/>
    <w:rsid w:val="00C2355B"/>
    <w:rsid w:val="00C23C60"/>
    <w:rsid w:val="00C34810"/>
    <w:rsid w:val="00C34B95"/>
    <w:rsid w:val="00C40003"/>
    <w:rsid w:val="00C418F2"/>
    <w:rsid w:val="00C41C17"/>
    <w:rsid w:val="00C435C2"/>
    <w:rsid w:val="00C43F16"/>
    <w:rsid w:val="00C4556E"/>
    <w:rsid w:val="00C45E40"/>
    <w:rsid w:val="00C50BB6"/>
    <w:rsid w:val="00C510E8"/>
    <w:rsid w:val="00C52AD0"/>
    <w:rsid w:val="00C52CDD"/>
    <w:rsid w:val="00C533F2"/>
    <w:rsid w:val="00C54BD2"/>
    <w:rsid w:val="00C55A75"/>
    <w:rsid w:val="00C55D20"/>
    <w:rsid w:val="00C615E5"/>
    <w:rsid w:val="00C62D30"/>
    <w:rsid w:val="00C65F26"/>
    <w:rsid w:val="00C67676"/>
    <w:rsid w:val="00C678C6"/>
    <w:rsid w:val="00C70505"/>
    <w:rsid w:val="00C71C02"/>
    <w:rsid w:val="00C72661"/>
    <w:rsid w:val="00C75F13"/>
    <w:rsid w:val="00C807EA"/>
    <w:rsid w:val="00C80929"/>
    <w:rsid w:val="00C80B72"/>
    <w:rsid w:val="00C84806"/>
    <w:rsid w:val="00C85609"/>
    <w:rsid w:val="00C856E8"/>
    <w:rsid w:val="00C869B0"/>
    <w:rsid w:val="00C913FE"/>
    <w:rsid w:val="00C92390"/>
    <w:rsid w:val="00C92B50"/>
    <w:rsid w:val="00C93225"/>
    <w:rsid w:val="00C94A9F"/>
    <w:rsid w:val="00C97FAD"/>
    <w:rsid w:val="00CA0CCA"/>
    <w:rsid w:val="00CA0E49"/>
    <w:rsid w:val="00CA1520"/>
    <w:rsid w:val="00CA2E34"/>
    <w:rsid w:val="00CA508C"/>
    <w:rsid w:val="00CA7BC6"/>
    <w:rsid w:val="00CB14C9"/>
    <w:rsid w:val="00CB2789"/>
    <w:rsid w:val="00CB301F"/>
    <w:rsid w:val="00CB616D"/>
    <w:rsid w:val="00CB671F"/>
    <w:rsid w:val="00CC20C9"/>
    <w:rsid w:val="00CC5BA9"/>
    <w:rsid w:val="00CC7DD2"/>
    <w:rsid w:val="00CD23D4"/>
    <w:rsid w:val="00CD3306"/>
    <w:rsid w:val="00CD380B"/>
    <w:rsid w:val="00CD4751"/>
    <w:rsid w:val="00CD5CCF"/>
    <w:rsid w:val="00CD5FC9"/>
    <w:rsid w:val="00CD780E"/>
    <w:rsid w:val="00CE3027"/>
    <w:rsid w:val="00CE4C24"/>
    <w:rsid w:val="00CE5493"/>
    <w:rsid w:val="00CE54F0"/>
    <w:rsid w:val="00CE75F5"/>
    <w:rsid w:val="00CF06EF"/>
    <w:rsid w:val="00CF0868"/>
    <w:rsid w:val="00CF0A1D"/>
    <w:rsid w:val="00CF3890"/>
    <w:rsid w:val="00CF5287"/>
    <w:rsid w:val="00D0270A"/>
    <w:rsid w:val="00D02A16"/>
    <w:rsid w:val="00D03CA4"/>
    <w:rsid w:val="00D0403D"/>
    <w:rsid w:val="00D05946"/>
    <w:rsid w:val="00D06240"/>
    <w:rsid w:val="00D06C51"/>
    <w:rsid w:val="00D06F48"/>
    <w:rsid w:val="00D141C8"/>
    <w:rsid w:val="00D1457D"/>
    <w:rsid w:val="00D204B1"/>
    <w:rsid w:val="00D20806"/>
    <w:rsid w:val="00D2183E"/>
    <w:rsid w:val="00D222C0"/>
    <w:rsid w:val="00D227EF"/>
    <w:rsid w:val="00D26D31"/>
    <w:rsid w:val="00D319B4"/>
    <w:rsid w:val="00D32364"/>
    <w:rsid w:val="00D33A20"/>
    <w:rsid w:val="00D33D29"/>
    <w:rsid w:val="00D34899"/>
    <w:rsid w:val="00D352D5"/>
    <w:rsid w:val="00D3585B"/>
    <w:rsid w:val="00D3673E"/>
    <w:rsid w:val="00D36AD7"/>
    <w:rsid w:val="00D37960"/>
    <w:rsid w:val="00D41E2D"/>
    <w:rsid w:val="00D44EF4"/>
    <w:rsid w:val="00D5637B"/>
    <w:rsid w:val="00D5795E"/>
    <w:rsid w:val="00D60656"/>
    <w:rsid w:val="00D61220"/>
    <w:rsid w:val="00D61546"/>
    <w:rsid w:val="00D617D4"/>
    <w:rsid w:val="00D623A5"/>
    <w:rsid w:val="00D62C3F"/>
    <w:rsid w:val="00D6700C"/>
    <w:rsid w:val="00D6787A"/>
    <w:rsid w:val="00D73F51"/>
    <w:rsid w:val="00D75157"/>
    <w:rsid w:val="00D75B7F"/>
    <w:rsid w:val="00D76D80"/>
    <w:rsid w:val="00D82062"/>
    <w:rsid w:val="00D8256F"/>
    <w:rsid w:val="00D8261D"/>
    <w:rsid w:val="00D833DA"/>
    <w:rsid w:val="00D84AA8"/>
    <w:rsid w:val="00D85191"/>
    <w:rsid w:val="00D867EA"/>
    <w:rsid w:val="00D90E4F"/>
    <w:rsid w:val="00D91462"/>
    <w:rsid w:val="00D93151"/>
    <w:rsid w:val="00D97BF4"/>
    <w:rsid w:val="00DA1AC4"/>
    <w:rsid w:val="00DA3118"/>
    <w:rsid w:val="00DA4B8A"/>
    <w:rsid w:val="00DA4E12"/>
    <w:rsid w:val="00DA4F5A"/>
    <w:rsid w:val="00DA5823"/>
    <w:rsid w:val="00DA66D5"/>
    <w:rsid w:val="00DB3C4D"/>
    <w:rsid w:val="00DB7079"/>
    <w:rsid w:val="00DB792C"/>
    <w:rsid w:val="00DC06C9"/>
    <w:rsid w:val="00DC4E3E"/>
    <w:rsid w:val="00DC5692"/>
    <w:rsid w:val="00DC6A6D"/>
    <w:rsid w:val="00DC6B23"/>
    <w:rsid w:val="00DD14D0"/>
    <w:rsid w:val="00DD1FD5"/>
    <w:rsid w:val="00DD3309"/>
    <w:rsid w:val="00DD3EAB"/>
    <w:rsid w:val="00DD52E5"/>
    <w:rsid w:val="00DD652E"/>
    <w:rsid w:val="00DD6FAA"/>
    <w:rsid w:val="00DE0A4A"/>
    <w:rsid w:val="00DE143A"/>
    <w:rsid w:val="00DE2AA3"/>
    <w:rsid w:val="00DE41FE"/>
    <w:rsid w:val="00DE4401"/>
    <w:rsid w:val="00DE5718"/>
    <w:rsid w:val="00DF01A0"/>
    <w:rsid w:val="00DF1139"/>
    <w:rsid w:val="00DF3E91"/>
    <w:rsid w:val="00DF6B7C"/>
    <w:rsid w:val="00DF7CCD"/>
    <w:rsid w:val="00E07653"/>
    <w:rsid w:val="00E07A56"/>
    <w:rsid w:val="00E100CF"/>
    <w:rsid w:val="00E10F6E"/>
    <w:rsid w:val="00E15951"/>
    <w:rsid w:val="00E15FBA"/>
    <w:rsid w:val="00E20280"/>
    <w:rsid w:val="00E2211A"/>
    <w:rsid w:val="00E264BD"/>
    <w:rsid w:val="00E26992"/>
    <w:rsid w:val="00E34667"/>
    <w:rsid w:val="00E34DCD"/>
    <w:rsid w:val="00E36BFE"/>
    <w:rsid w:val="00E4063F"/>
    <w:rsid w:val="00E41414"/>
    <w:rsid w:val="00E424A8"/>
    <w:rsid w:val="00E4496A"/>
    <w:rsid w:val="00E45346"/>
    <w:rsid w:val="00E47EEC"/>
    <w:rsid w:val="00E531CC"/>
    <w:rsid w:val="00E53B51"/>
    <w:rsid w:val="00E55C19"/>
    <w:rsid w:val="00E55D5A"/>
    <w:rsid w:val="00E567F9"/>
    <w:rsid w:val="00E60FD9"/>
    <w:rsid w:val="00E611FF"/>
    <w:rsid w:val="00E621DA"/>
    <w:rsid w:val="00E647FD"/>
    <w:rsid w:val="00E64B5F"/>
    <w:rsid w:val="00E655B1"/>
    <w:rsid w:val="00E70E6D"/>
    <w:rsid w:val="00E755C1"/>
    <w:rsid w:val="00E770C7"/>
    <w:rsid w:val="00E83700"/>
    <w:rsid w:val="00E84A66"/>
    <w:rsid w:val="00E8633B"/>
    <w:rsid w:val="00E92F17"/>
    <w:rsid w:val="00E94C6D"/>
    <w:rsid w:val="00E9501F"/>
    <w:rsid w:val="00EA1ABA"/>
    <w:rsid w:val="00EA2387"/>
    <w:rsid w:val="00EA5C84"/>
    <w:rsid w:val="00EA5EDD"/>
    <w:rsid w:val="00EB0A75"/>
    <w:rsid w:val="00EB3F7A"/>
    <w:rsid w:val="00EB54A2"/>
    <w:rsid w:val="00EB6467"/>
    <w:rsid w:val="00EC038E"/>
    <w:rsid w:val="00EC2CEB"/>
    <w:rsid w:val="00EC5EE6"/>
    <w:rsid w:val="00ED136D"/>
    <w:rsid w:val="00ED1D5C"/>
    <w:rsid w:val="00ED3153"/>
    <w:rsid w:val="00ED4A86"/>
    <w:rsid w:val="00ED76E0"/>
    <w:rsid w:val="00EE0235"/>
    <w:rsid w:val="00EE60AB"/>
    <w:rsid w:val="00EE71C3"/>
    <w:rsid w:val="00EF0E3E"/>
    <w:rsid w:val="00EF2CF4"/>
    <w:rsid w:val="00EF428B"/>
    <w:rsid w:val="00EF5ED4"/>
    <w:rsid w:val="00EF6CFA"/>
    <w:rsid w:val="00EF76D1"/>
    <w:rsid w:val="00F00A90"/>
    <w:rsid w:val="00F03239"/>
    <w:rsid w:val="00F050D0"/>
    <w:rsid w:val="00F05AB2"/>
    <w:rsid w:val="00F1007E"/>
    <w:rsid w:val="00F13010"/>
    <w:rsid w:val="00F13B38"/>
    <w:rsid w:val="00F15CD4"/>
    <w:rsid w:val="00F20B0A"/>
    <w:rsid w:val="00F2225B"/>
    <w:rsid w:val="00F271E0"/>
    <w:rsid w:val="00F27405"/>
    <w:rsid w:val="00F278D0"/>
    <w:rsid w:val="00F27ADF"/>
    <w:rsid w:val="00F30F7E"/>
    <w:rsid w:val="00F3378A"/>
    <w:rsid w:val="00F35493"/>
    <w:rsid w:val="00F4046A"/>
    <w:rsid w:val="00F4158B"/>
    <w:rsid w:val="00F41BFD"/>
    <w:rsid w:val="00F42828"/>
    <w:rsid w:val="00F44988"/>
    <w:rsid w:val="00F45751"/>
    <w:rsid w:val="00F471EF"/>
    <w:rsid w:val="00F500FB"/>
    <w:rsid w:val="00F50815"/>
    <w:rsid w:val="00F508CE"/>
    <w:rsid w:val="00F52637"/>
    <w:rsid w:val="00F526C5"/>
    <w:rsid w:val="00F52ADB"/>
    <w:rsid w:val="00F53DB3"/>
    <w:rsid w:val="00F540F2"/>
    <w:rsid w:val="00F568E5"/>
    <w:rsid w:val="00F57161"/>
    <w:rsid w:val="00F61A54"/>
    <w:rsid w:val="00F633FF"/>
    <w:rsid w:val="00F63BC6"/>
    <w:rsid w:val="00F643F9"/>
    <w:rsid w:val="00F646FF"/>
    <w:rsid w:val="00F64D77"/>
    <w:rsid w:val="00F7159E"/>
    <w:rsid w:val="00F767EC"/>
    <w:rsid w:val="00F775CC"/>
    <w:rsid w:val="00F81206"/>
    <w:rsid w:val="00F81A42"/>
    <w:rsid w:val="00F82A4D"/>
    <w:rsid w:val="00F85603"/>
    <w:rsid w:val="00F87957"/>
    <w:rsid w:val="00F941BD"/>
    <w:rsid w:val="00F944C1"/>
    <w:rsid w:val="00F97B5D"/>
    <w:rsid w:val="00F97E7D"/>
    <w:rsid w:val="00FA0228"/>
    <w:rsid w:val="00FA0DB6"/>
    <w:rsid w:val="00FA113F"/>
    <w:rsid w:val="00FA1BBF"/>
    <w:rsid w:val="00FA33DA"/>
    <w:rsid w:val="00FA349F"/>
    <w:rsid w:val="00FB00B6"/>
    <w:rsid w:val="00FB0A6C"/>
    <w:rsid w:val="00FB0AE4"/>
    <w:rsid w:val="00FB20F6"/>
    <w:rsid w:val="00FB4212"/>
    <w:rsid w:val="00FB50FA"/>
    <w:rsid w:val="00FC3050"/>
    <w:rsid w:val="00FC37EA"/>
    <w:rsid w:val="00FC397A"/>
    <w:rsid w:val="00FC3B2D"/>
    <w:rsid w:val="00FC3DA2"/>
    <w:rsid w:val="00FC50A4"/>
    <w:rsid w:val="00FD130D"/>
    <w:rsid w:val="00FD1479"/>
    <w:rsid w:val="00FD45C6"/>
    <w:rsid w:val="00FD6BFB"/>
    <w:rsid w:val="00FD6E1F"/>
    <w:rsid w:val="00FE2242"/>
    <w:rsid w:val="00FE2DD0"/>
    <w:rsid w:val="00FE7D66"/>
    <w:rsid w:val="00FF0E8D"/>
    <w:rsid w:val="00FF109F"/>
    <w:rsid w:val="00FF2805"/>
    <w:rsid w:val="00FF4E21"/>
    <w:rsid w:val="00FF60B0"/>
    <w:rsid w:val="011076DB"/>
    <w:rsid w:val="018A7679"/>
    <w:rsid w:val="0195374C"/>
    <w:rsid w:val="01A26771"/>
    <w:rsid w:val="02377C0A"/>
    <w:rsid w:val="02486643"/>
    <w:rsid w:val="02496E75"/>
    <w:rsid w:val="024F161E"/>
    <w:rsid w:val="03AF117E"/>
    <w:rsid w:val="03B40DAE"/>
    <w:rsid w:val="03B71F4E"/>
    <w:rsid w:val="03BB6210"/>
    <w:rsid w:val="03F97CA5"/>
    <w:rsid w:val="040A1CAB"/>
    <w:rsid w:val="049727D9"/>
    <w:rsid w:val="04A35D02"/>
    <w:rsid w:val="04D631AD"/>
    <w:rsid w:val="04FB4053"/>
    <w:rsid w:val="05515C0A"/>
    <w:rsid w:val="05613ED6"/>
    <w:rsid w:val="056B5231"/>
    <w:rsid w:val="05B42F17"/>
    <w:rsid w:val="05C72C4A"/>
    <w:rsid w:val="05E74D99"/>
    <w:rsid w:val="05EC5978"/>
    <w:rsid w:val="06013E99"/>
    <w:rsid w:val="062A76DC"/>
    <w:rsid w:val="06477643"/>
    <w:rsid w:val="06736DB3"/>
    <w:rsid w:val="06914EFE"/>
    <w:rsid w:val="069338C3"/>
    <w:rsid w:val="06A67635"/>
    <w:rsid w:val="06A962CD"/>
    <w:rsid w:val="06AD24D5"/>
    <w:rsid w:val="06BD35CC"/>
    <w:rsid w:val="06F0378A"/>
    <w:rsid w:val="07117A3E"/>
    <w:rsid w:val="07314C58"/>
    <w:rsid w:val="07554671"/>
    <w:rsid w:val="07705810"/>
    <w:rsid w:val="077223C1"/>
    <w:rsid w:val="07735E64"/>
    <w:rsid w:val="077D1303"/>
    <w:rsid w:val="079F7BAE"/>
    <w:rsid w:val="07D1602E"/>
    <w:rsid w:val="07DA7720"/>
    <w:rsid w:val="086D0CAC"/>
    <w:rsid w:val="089823CA"/>
    <w:rsid w:val="08F024B8"/>
    <w:rsid w:val="090E6DE2"/>
    <w:rsid w:val="091E3FAF"/>
    <w:rsid w:val="092925A6"/>
    <w:rsid w:val="0937134C"/>
    <w:rsid w:val="094216D1"/>
    <w:rsid w:val="09585E7C"/>
    <w:rsid w:val="09A32550"/>
    <w:rsid w:val="09CD7B8A"/>
    <w:rsid w:val="09D52E1D"/>
    <w:rsid w:val="09FF6A5B"/>
    <w:rsid w:val="0A211992"/>
    <w:rsid w:val="0A4F35C1"/>
    <w:rsid w:val="0A562CBC"/>
    <w:rsid w:val="0A640DAC"/>
    <w:rsid w:val="0A664412"/>
    <w:rsid w:val="0A920902"/>
    <w:rsid w:val="0A9C76A7"/>
    <w:rsid w:val="0AC027B4"/>
    <w:rsid w:val="0AFB78F9"/>
    <w:rsid w:val="0B1B064E"/>
    <w:rsid w:val="0B6F2619"/>
    <w:rsid w:val="0C725662"/>
    <w:rsid w:val="0CBB0AFA"/>
    <w:rsid w:val="0D315E36"/>
    <w:rsid w:val="0DB04F09"/>
    <w:rsid w:val="0DD24882"/>
    <w:rsid w:val="0DF91FC1"/>
    <w:rsid w:val="0E002507"/>
    <w:rsid w:val="0E0F1632"/>
    <w:rsid w:val="0E4868F2"/>
    <w:rsid w:val="0E772D33"/>
    <w:rsid w:val="0EB810AA"/>
    <w:rsid w:val="0ED426D8"/>
    <w:rsid w:val="0EDB0E4E"/>
    <w:rsid w:val="0F021306"/>
    <w:rsid w:val="0F042BC2"/>
    <w:rsid w:val="0F4C6F6C"/>
    <w:rsid w:val="0F5D7C7B"/>
    <w:rsid w:val="0FB21596"/>
    <w:rsid w:val="0FC1532E"/>
    <w:rsid w:val="0FCB1326"/>
    <w:rsid w:val="0FE90477"/>
    <w:rsid w:val="10155044"/>
    <w:rsid w:val="101D336C"/>
    <w:rsid w:val="102B7629"/>
    <w:rsid w:val="1038663B"/>
    <w:rsid w:val="104344BA"/>
    <w:rsid w:val="108E45C0"/>
    <w:rsid w:val="10D7072D"/>
    <w:rsid w:val="10F651FE"/>
    <w:rsid w:val="111B08AD"/>
    <w:rsid w:val="11282EEB"/>
    <w:rsid w:val="115709B8"/>
    <w:rsid w:val="11B11D4E"/>
    <w:rsid w:val="11CB7D3C"/>
    <w:rsid w:val="12E96050"/>
    <w:rsid w:val="13462B78"/>
    <w:rsid w:val="1357401F"/>
    <w:rsid w:val="13C03A2E"/>
    <w:rsid w:val="13C46A1B"/>
    <w:rsid w:val="13D50C28"/>
    <w:rsid w:val="144136AD"/>
    <w:rsid w:val="14540097"/>
    <w:rsid w:val="145B7AAC"/>
    <w:rsid w:val="148E0333"/>
    <w:rsid w:val="14E84D71"/>
    <w:rsid w:val="151439D2"/>
    <w:rsid w:val="15271BA3"/>
    <w:rsid w:val="15820401"/>
    <w:rsid w:val="15F15587"/>
    <w:rsid w:val="15FC2E71"/>
    <w:rsid w:val="16075A6D"/>
    <w:rsid w:val="1625236D"/>
    <w:rsid w:val="163C5DAC"/>
    <w:rsid w:val="16770B92"/>
    <w:rsid w:val="172C455D"/>
    <w:rsid w:val="173DF126"/>
    <w:rsid w:val="17424826"/>
    <w:rsid w:val="177A5946"/>
    <w:rsid w:val="177A7653"/>
    <w:rsid w:val="17B35E0E"/>
    <w:rsid w:val="17CC3AC0"/>
    <w:rsid w:val="18242446"/>
    <w:rsid w:val="185E1BE6"/>
    <w:rsid w:val="18AB54FE"/>
    <w:rsid w:val="18AF5218"/>
    <w:rsid w:val="18CE3850"/>
    <w:rsid w:val="18EE55D3"/>
    <w:rsid w:val="194B07E3"/>
    <w:rsid w:val="19511388"/>
    <w:rsid w:val="196F7427"/>
    <w:rsid w:val="197B574B"/>
    <w:rsid w:val="1992068A"/>
    <w:rsid w:val="19B30892"/>
    <w:rsid w:val="19CA4592"/>
    <w:rsid w:val="19DA3568"/>
    <w:rsid w:val="19E0310D"/>
    <w:rsid w:val="19F134A0"/>
    <w:rsid w:val="1A25409E"/>
    <w:rsid w:val="1A2D405C"/>
    <w:rsid w:val="1A4268EB"/>
    <w:rsid w:val="1A725422"/>
    <w:rsid w:val="1A773603"/>
    <w:rsid w:val="1A800EEF"/>
    <w:rsid w:val="1A8A0611"/>
    <w:rsid w:val="1AC61C6C"/>
    <w:rsid w:val="1AD93674"/>
    <w:rsid w:val="1AE34B69"/>
    <w:rsid w:val="1AFD1961"/>
    <w:rsid w:val="1B212A56"/>
    <w:rsid w:val="1B883200"/>
    <w:rsid w:val="1BB53913"/>
    <w:rsid w:val="1BBD1F95"/>
    <w:rsid w:val="1BC44288"/>
    <w:rsid w:val="1BC6412C"/>
    <w:rsid w:val="1BDE661C"/>
    <w:rsid w:val="1C0E71DD"/>
    <w:rsid w:val="1C2B3CC1"/>
    <w:rsid w:val="1C512503"/>
    <w:rsid w:val="1CA56461"/>
    <w:rsid w:val="1CA85E8E"/>
    <w:rsid w:val="1CAA35A0"/>
    <w:rsid w:val="1CCC4C67"/>
    <w:rsid w:val="1CD47F5D"/>
    <w:rsid w:val="1D2E6E81"/>
    <w:rsid w:val="1D3D5090"/>
    <w:rsid w:val="1D504A6F"/>
    <w:rsid w:val="1D641CE6"/>
    <w:rsid w:val="1D6848BB"/>
    <w:rsid w:val="1D804DF1"/>
    <w:rsid w:val="1DA032FD"/>
    <w:rsid w:val="1DE63D5D"/>
    <w:rsid w:val="1E001ED4"/>
    <w:rsid w:val="1E193D09"/>
    <w:rsid w:val="1E1F3367"/>
    <w:rsid w:val="1E397CCE"/>
    <w:rsid w:val="1E4C1AE7"/>
    <w:rsid w:val="1E6873E0"/>
    <w:rsid w:val="1E75798F"/>
    <w:rsid w:val="1E7D6144"/>
    <w:rsid w:val="1EE05995"/>
    <w:rsid w:val="1F0A0993"/>
    <w:rsid w:val="1F6D571A"/>
    <w:rsid w:val="1F7A079C"/>
    <w:rsid w:val="1FAB2230"/>
    <w:rsid w:val="1FB0626B"/>
    <w:rsid w:val="1FCD50C6"/>
    <w:rsid w:val="20016916"/>
    <w:rsid w:val="204F50A8"/>
    <w:rsid w:val="205519FE"/>
    <w:rsid w:val="20BC336A"/>
    <w:rsid w:val="20C05DFE"/>
    <w:rsid w:val="21207871"/>
    <w:rsid w:val="21423112"/>
    <w:rsid w:val="21780CEC"/>
    <w:rsid w:val="21C320DF"/>
    <w:rsid w:val="21C91A85"/>
    <w:rsid w:val="21CF5B88"/>
    <w:rsid w:val="21D37AE9"/>
    <w:rsid w:val="21DD32C1"/>
    <w:rsid w:val="21DE15EF"/>
    <w:rsid w:val="21EA6E66"/>
    <w:rsid w:val="21EF2963"/>
    <w:rsid w:val="2214777E"/>
    <w:rsid w:val="221B1A48"/>
    <w:rsid w:val="22A054DD"/>
    <w:rsid w:val="22A632B9"/>
    <w:rsid w:val="22B053ED"/>
    <w:rsid w:val="22C6798B"/>
    <w:rsid w:val="22CB6212"/>
    <w:rsid w:val="22CF2CE6"/>
    <w:rsid w:val="22DC19AD"/>
    <w:rsid w:val="22E617AB"/>
    <w:rsid w:val="22EF05EE"/>
    <w:rsid w:val="23121320"/>
    <w:rsid w:val="231E03A3"/>
    <w:rsid w:val="23503E27"/>
    <w:rsid w:val="23D40584"/>
    <w:rsid w:val="23DA4F0A"/>
    <w:rsid w:val="23DB104A"/>
    <w:rsid w:val="23E629DD"/>
    <w:rsid w:val="244B787A"/>
    <w:rsid w:val="24652E4D"/>
    <w:rsid w:val="247C0975"/>
    <w:rsid w:val="251B731A"/>
    <w:rsid w:val="257626E2"/>
    <w:rsid w:val="25F07F7D"/>
    <w:rsid w:val="26233A75"/>
    <w:rsid w:val="266F6CBA"/>
    <w:rsid w:val="268B25CD"/>
    <w:rsid w:val="26B26374"/>
    <w:rsid w:val="26B74A9C"/>
    <w:rsid w:val="26EF1BA9"/>
    <w:rsid w:val="27233287"/>
    <w:rsid w:val="27315FC2"/>
    <w:rsid w:val="27AE7E51"/>
    <w:rsid w:val="27BA6EF1"/>
    <w:rsid w:val="27D50FF3"/>
    <w:rsid w:val="28076BC0"/>
    <w:rsid w:val="28886A9D"/>
    <w:rsid w:val="28B07116"/>
    <w:rsid w:val="28CA3F98"/>
    <w:rsid w:val="29196D87"/>
    <w:rsid w:val="29214517"/>
    <w:rsid w:val="29332307"/>
    <w:rsid w:val="29585CB3"/>
    <w:rsid w:val="29592D76"/>
    <w:rsid w:val="297B7FE9"/>
    <w:rsid w:val="298962E5"/>
    <w:rsid w:val="29B03871"/>
    <w:rsid w:val="29C06788"/>
    <w:rsid w:val="2A77521E"/>
    <w:rsid w:val="2A960606"/>
    <w:rsid w:val="2AF10ABC"/>
    <w:rsid w:val="2B0B166C"/>
    <w:rsid w:val="2B0C0F7B"/>
    <w:rsid w:val="2B3E16BF"/>
    <w:rsid w:val="2B8F4DD1"/>
    <w:rsid w:val="2BB94533"/>
    <w:rsid w:val="2BDD765A"/>
    <w:rsid w:val="2C2662B9"/>
    <w:rsid w:val="2C3C47F7"/>
    <w:rsid w:val="2C440C42"/>
    <w:rsid w:val="2C895E77"/>
    <w:rsid w:val="2CEF46B1"/>
    <w:rsid w:val="2D3C231C"/>
    <w:rsid w:val="2D572256"/>
    <w:rsid w:val="2D742127"/>
    <w:rsid w:val="2D7E05F7"/>
    <w:rsid w:val="2D934AE7"/>
    <w:rsid w:val="2DCE4F0C"/>
    <w:rsid w:val="2DDC3FC1"/>
    <w:rsid w:val="2E132846"/>
    <w:rsid w:val="2E182FB4"/>
    <w:rsid w:val="2E851886"/>
    <w:rsid w:val="2F4E0DAB"/>
    <w:rsid w:val="2F852CB6"/>
    <w:rsid w:val="2FAA5AD9"/>
    <w:rsid w:val="2FB4063E"/>
    <w:rsid w:val="2FCE154D"/>
    <w:rsid w:val="2FF039F1"/>
    <w:rsid w:val="300D61A9"/>
    <w:rsid w:val="300D7523"/>
    <w:rsid w:val="30424CC0"/>
    <w:rsid w:val="311968B2"/>
    <w:rsid w:val="311E18DD"/>
    <w:rsid w:val="31FC2745"/>
    <w:rsid w:val="320B412F"/>
    <w:rsid w:val="3271734E"/>
    <w:rsid w:val="327563B3"/>
    <w:rsid w:val="32965029"/>
    <w:rsid w:val="32A634AF"/>
    <w:rsid w:val="32B921AD"/>
    <w:rsid w:val="32C4038E"/>
    <w:rsid w:val="32CD2E76"/>
    <w:rsid w:val="330E2506"/>
    <w:rsid w:val="331A5AF6"/>
    <w:rsid w:val="33A0531B"/>
    <w:rsid w:val="346C234F"/>
    <w:rsid w:val="34930017"/>
    <w:rsid w:val="34B57BF3"/>
    <w:rsid w:val="34F8315A"/>
    <w:rsid w:val="3539149F"/>
    <w:rsid w:val="354032C5"/>
    <w:rsid w:val="358B61B2"/>
    <w:rsid w:val="35970FD9"/>
    <w:rsid w:val="35A61FCC"/>
    <w:rsid w:val="35B35EF5"/>
    <w:rsid w:val="35D928EB"/>
    <w:rsid w:val="36637EBD"/>
    <w:rsid w:val="36660B35"/>
    <w:rsid w:val="36C57546"/>
    <w:rsid w:val="36D3669F"/>
    <w:rsid w:val="3720230B"/>
    <w:rsid w:val="376244E0"/>
    <w:rsid w:val="376C0295"/>
    <w:rsid w:val="377473AF"/>
    <w:rsid w:val="377D670A"/>
    <w:rsid w:val="37A42CEF"/>
    <w:rsid w:val="37A51FCB"/>
    <w:rsid w:val="37AD13F0"/>
    <w:rsid w:val="37DD6436"/>
    <w:rsid w:val="3819180F"/>
    <w:rsid w:val="38313138"/>
    <w:rsid w:val="383876FC"/>
    <w:rsid w:val="38464F82"/>
    <w:rsid w:val="385376B2"/>
    <w:rsid w:val="38A67777"/>
    <w:rsid w:val="38B505BF"/>
    <w:rsid w:val="38BA021A"/>
    <w:rsid w:val="38E303DA"/>
    <w:rsid w:val="395D64FD"/>
    <w:rsid w:val="39C842CD"/>
    <w:rsid w:val="39D56FB2"/>
    <w:rsid w:val="3A211B28"/>
    <w:rsid w:val="3A400E87"/>
    <w:rsid w:val="3AB33586"/>
    <w:rsid w:val="3AC76C6D"/>
    <w:rsid w:val="3ACB4EAA"/>
    <w:rsid w:val="3ADE3FB6"/>
    <w:rsid w:val="3AEB1C36"/>
    <w:rsid w:val="3B38181B"/>
    <w:rsid w:val="3B3945E2"/>
    <w:rsid w:val="3B3E31A9"/>
    <w:rsid w:val="3BA565C9"/>
    <w:rsid w:val="3C214DB9"/>
    <w:rsid w:val="3C286BF8"/>
    <w:rsid w:val="3C9E2B6C"/>
    <w:rsid w:val="3CB13235"/>
    <w:rsid w:val="3CCC5833"/>
    <w:rsid w:val="3CEE30A2"/>
    <w:rsid w:val="3D0A54E4"/>
    <w:rsid w:val="3D12385B"/>
    <w:rsid w:val="3D3C61CF"/>
    <w:rsid w:val="3DA75234"/>
    <w:rsid w:val="3DCE4E55"/>
    <w:rsid w:val="3DF03891"/>
    <w:rsid w:val="3E2C5CAE"/>
    <w:rsid w:val="3E920BF6"/>
    <w:rsid w:val="3EB5793B"/>
    <w:rsid w:val="3ED424C0"/>
    <w:rsid w:val="3EE549D1"/>
    <w:rsid w:val="3EF24507"/>
    <w:rsid w:val="3EF26819"/>
    <w:rsid w:val="3F032219"/>
    <w:rsid w:val="3F6D7022"/>
    <w:rsid w:val="40181D19"/>
    <w:rsid w:val="40424744"/>
    <w:rsid w:val="405B1755"/>
    <w:rsid w:val="406A3A67"/>
    <w:rsid w:val="407C0499"/>
    <w:rsid w:val="407C54BA"/>
    <w:rsid w:val="40823610"/>
    <w:rsid w:val="40923879"/>
    <w:rsid w:val="40B0739C"/>
    <w:rsid w:val="40E66D48"/>
    <w:rsid w:val="40E70223"/>
    <w:rsid w:val="411B38EE"/>
    <w:rsid w:val="41234A35"/>
    <w:rsid w:val="41252C1F"/>
    <w:rsid w:val="414832E5"/>
    <w:rsid w:val="41560C26"/>
    <w:rsid w:val="416B6DBE"/>
    <w:rsid w:val="41E9306C"/>
    <w:rsid w:val="421E0B50"/>
    <w:rsid w:val="42A00BEF"/>
    <w:rsid w:val="42C01097"/>
    <w:rsid w:val="42CC0BAF"/>
    <w:rsid w:val="42E26C70"/>
    <w:rsid w:val="42FE0D52"/>
    <w:rsid w:val="432F3AC7"/>
    <w:rsid w:val="43314C51"/>
    <w:rsid w:val="43393571"/>
    <w:rsid w:val="4349799B"/>
    <w:rsid w:val="435D5911"/>
    <w:rsid w:val="43610ED9"/>
    <w:rsid w:val="43837429"/>
    <w:rsid w:val="43865894"/>
    <w:rsid w:val="43A94328"/>
    <w:rsid w:val="43AA0EDA"/>
    <w:rsid w:val="43F71F01"/>
    <w:rsid w:val="43FA3A9A"/>
    <w:rsid w:val="440700DA"/>
    <w:rsid w:val="44151381"/>
    <w:rsid w:val="447366E5"/>
    <w:rsid w:val="449D1269"/>
    <w:rsid w:val="44AF7F36"/>
    <w:rsid w:val="44BB3AE9"/>
    <w:rsid w:val="44F25238"/>
    <w:rsid w:val="45173EBC"/>
    <w:rsid w:val="455652C2"/>
    <w:rsid w:val="45611A6C"/>
    <w:rsid w:val="45E35183"/>
    <w:rsid w:val="45E66B02"/>
    <w:rsid w:val="461D3B72"/>
    <w:rsid w:val="46256F3D"/>
    <w:rsid w:val="4687042A"/>
    <w:rsid w:val="46BA7686"/>
    <w:rsid w:val="46C15208"/>
    <w:rsid w:val="46C329DE"/>
    <w:rsid w:val="46D21DA6"/>
    <w:rsid w:val="46D43642"/>
    <w:rsid w:val="47024B89"/>
    <w:rsid w:val="47186D2D"/>
    <w:rsid w:val="475C0019"/>
    <w:rsid w:val="475F6FFF"/>
    <w:rsid w:val="476D72E1"/>
    <w:rsid w:val="47B42327"/>
    <w:rsid w:val="47F030E2"/>
    <w:rsid w:val="481132D5"/>
    <w:rsid w:val="48CC7477"/>
    <w:rsid w:val="490034B4"/>
    <w:rsid w:val="49250AC3"/>
    <w:rsid w:val="493C15D1"/>
    <w:rsid w:val="494A314E"/>
    <w:rsid w:val="495915E3"/>
    <w:rsid w:val="49B43E29"/>
    <w:rsid w:val="49F23BE3"/>
    <w:rsid w:val="49FB47C4"/>
    <w:rsid w:val="4A4D002A"/>
    <w:rsid w:val="4A5634BA"/>
    <w:rsid w:val="4AC76815"/>
    <w:rsid w:val="4AF4189F"/>
    <w:rsid w:val="4B095673"/>
    <w:rsid w:val="4B3A4E12"/>
    <w:rsid w:val="4B673FD2"/>
    <w:rsid w:val="4BC35FB7"/>
    <w:rsid w:val="4BD85032"/>
    <w:rsid w:val="4C011FB4"/>
    <w:rsid w:val="4C3214F1"/>
    <w:rsid w:val="4C5778CF"/>
    <w:rsid w:val="4CC457D0"/>
    <w:rsid w:val="4CC615FD"/>
    <w:rsid w:val="4D094D75"/>
    <w:rsid w:val="4D4938D7"/>
    <w:rsid w:val="4D8B67F6"/>
    <w:rsid w:val="4DC311DF"/>
    <w:rsid w:val="4DCA3CE8"/>
    <w:rsid w:val="4E033EBC"/>
    <w:rsid w:val="4E073C59"/>
    <w:rsid w:val="4E1150AB"/>
    <w:rsid w:val="4E844489"/>
    <w:rsid w:val="4E981050"/>
    <w:rsid w:val="4EBF2383"/>
    <w:rsid w:val="4F753207"/>
    <w:rsid w:val="4FFA401D"/>
    <w:rsid w:val="501E3772"/>
    <w:rsid w:val="50247144"/>
    <w:rsid w:val="502A2248"/>
    <w:rsid w:val="5090127E"/>
    <w:rsid w:val="509F1092"/>
    <w:rsid w:val="50D26870"/>
    <w:rsid w:val="50F87DA8"/>
    <w:rsid w:val="51061FA6"/>
    <w:rsid w:val="51580952"/>
    <w:rsid w:val="516644B2"/>
    <w:rsid w:val="51F577C4"/>
    <w:rsid w:val="51FE2935"/>
    <w:rsid w:val="5207218C"/>
    <w:rsid w:val="522B2C66"/>
    <w:rsid w:val="523722E7"/>
    <w:rsid w:val="5308203E"/>
    <w:rsid w:val="534742A2"/>
    <w:rsid w:val="536729D5"/>
    <w:rsid w:val="53A73B70"/>
    <w:rsid w:val="53F51FF0"/>
    <w:rsid w:val="54314539"/>
    <w:rsid w:val="545216AE"/>
    <w:rsid w:val="54752E3E"/>
    <w:rsid w:val="54C77CA4"/>
    <w:rsid w:val="54E1485D"/>
    <w:rsid w:val="54F0443B"/>
    <w:rsid w:val="55105676"/>
    <w:rsid w:val="552A5DC5"/>
    <w:rsid w:val="554F180F"/>
    <w:rsid w:val="561072C2"/>
    <w:rsid w:val="56260E7E"/>
    <w:rsid w:val="562E1BED"/>
    <w:rsid w:val="566864B5"/>
    <w:rsid w:val="56F249AC"/>
    <w:rsid w:val="57281034"/>
    <w:rsid w:val="575936FC"/>
    <w:rsid w:val="57842062"/>
    <w:rsid w:val="57C42F3C"/>
    <w:rsid w:val="57DC5854"/>
    <w:rsid w:val="580D0F91"/>
    <w:rsid w:val="58281E20"/>
    <w:rsid w:val="582C5F09"/>
    <w:rsid w:val="58527F9B"/>
    <w:rsid w:val="58593DA3"/>
    <w:rsid w:val="58902D3C"/>
    <w:rsid w:val="589726FF"/>
    <w:rsid w:val="58E01645"/>
    <w:rsid w:val="590160ED"/>
    <w:rsid w:val="5978475D"/>
    <w:rsid w:val="599C096B"/>
    <w:rsid w:val="59AD2AEE"/>
    <w:rsid w:val="59AD507E"/>
    <w:rsid w:val="59B2794E"/>
    <w:rsid w:val="59E6075A"/>
    <w:rsid w:val="5A683267"/>
    <w:rsid w:val="5AD057D8"/>
    <w:rsid w:val="5AEB0435"/>
    <w:rsid w:val="5B12588A"/>
    <w:rsid w:val="5BB20DBA"/>
    <w:rsid w:val="5BC51B9B"/>
    <w:rsid w:val="5BD11200"/>
    <w:rsid w:val="5BD75588"/>
    <w:rsid w:val="5BE2711B"/>
    <w:rsid w:val="5BF92475"/>
    <w:rsid w:val="5C1B195E"/>
    <w:rsid w:val="5C1D29E3"/>
    <w:rsid w:val="5C416C19"/>
    <w:rsid w:val="5C4C4231"/>
    <w:rsid w:val="5C760D5D"/>
    <w:rsid w:val="5CAE582B"/>
    <w:rsid w:val="5CF07506"/>
    <w:rsid w:val="5CFE7C80"/>
    <w:rsid w:val="5E092631"/>
    <w:rsid w:val="5E54291C"/>
    <w:rsid w:val="5E6F680E"/>
    <w:rsid w:val="5E7F3237"/>
    <w:rsid w:val="5EB4384C"/>
    <w:rsid w:val="5EC53236"/>
    <w:rsid w:val="5EE82429"/>
    <w:rsid w:val="5EF72C6B"/>
    <w:rsid w:val="5F1C2C02"/>
    <w:rsid w:val="5F28433E"/>
    <w:rsid w:val="5F2C01BD"/>
    <w:rsid w:val="5F434264"/>
    <w:rsid w:val="5F8529C6"/>
    <w:rsid w:val="5F98501F"/>
    <w:rsid w:val="5FB77E6B"/>
    <w:rsid w:val="5FBA14AF"/>
    <w:rsid w:val="5FF64C62"/>
    <w:rsid w:val="603040BD"/>
    <w:rsid w:val="60344C7B"/>
    <w:rsid w:val="60544CB9"/>
    <w:rsid w:val="606B08D9"/>
    <w:rsid w:val="60AE780D"/>
    <w:rsid w:val="61333583"/>
    <w:rsid w:val="61A55B6E"/>
    <w:rsid w:val="61CC5A65"/>
    <w:rsid w:val="61CF1286"/>
    <w:rsid w:val="61F63C4B"/>
    <w:rsid w:val="620A5184"/>
    <w:rsid w:val="621A74E5"/>
    <w:rsid w:val="622E4F3F"/>
    <w:rsid w:val="6279080D"/>
    <w:rsid w:val="6283706E"/>
    <w:rsid w:val="631D363E"/>
    <w:rsid w:val="63207313"/>
    <w:rsid w:val="635A2D1A"/>
    <w:rsid w:val="636E5628"/>
    <w:rsid w:val="639F41EB"/>
    <w:rsid w:val="641F4B74"/>
    <w:rsid w:val="648A6C22"/>
    <w:rsid w:val="64A73D00"/>
    <w:rsid w:val="65062218"/>
    <w:rsid w:val="651950AB"/>
    <w:rsid w:val="653A07B7"/>
    <w:rsid w:val="655B67A0"/>
    <w:rsid w:val="659E36CB"/>
    <w:rsid w:val="66065FEC"/>
    <w:rsid w:val="664465A5"/>
    <w:rsid w:val="668E56BC"/>
    <w:rsid w:val="67180FA6"/>
    <w:rsid w:val="67427A3E"/>
    <w:rsid w:val="679E23D2"/>
    <w:rsid w:val="68084924"/>
    <w:rsid w:val="6841395C"/>
    <w:rsid w:val="689627D5"/>
    <w:rsid w:val="68C95513"/>
    <w:rsid w:val="68EF1B5A"/>
    <w:rsid w:val="68F06C38"/>
    <w:rsid w:val="692D1AE1"/>
    <w:rsid w:val="69460D57"/>
    <w:rsid w:val="69652E0C"/>
    <w:rsid w:val="69A118B1"/>
    <w:rsid w:val="69BB5C7C"/>
    <w:rsid w:val="69E1587D"/>
    <w:rsid w:val="69EE459B"/>
    <w:rsid w:val="6A0D3435"/>
    <w:rsid w:val="6A523336"/>
    <w:rsid w:val="6A5F216E"/>
    <w:rsid w:val="6A771191"/>
    <w:rsid w:val="6A9B7231"/>
    <w:rsid w:val="6AD3146B"/>
    <w:rsid w:val="6B3A64D2"/>
    <w:rsid w:val="6B3D3D87"/>
    <w:rsid w:val="6B480E0D"/>
    <w:rsid w:val="6B52106A"/>
    <w:rsid w:val="6BD014A7"/>
    <w:rsid w:val="6BD91E7B"/>
    <w:rsid w:val="6C042E79"/>
    <w:rsid w:val="6C4E080C"/>
    <w:rsid w:val="6C7D68DC"/>
    <w:rsid w:val="6CAF0EC7"/>
    <w:rsid w:val="6CB27B7A"/>
    <w:rsid w:val="6D387105"/>
    <w:rsid w:val="6D415358"/>
    <w:rsid w:val="6D425CFD"/>
    <w:rsid w:val="6D5863A6"/>
    <w:rsid w:val="6D5B583A"/>
    <w:rsid w:val="6D850165"/>
    <w:rsid w:val="6DA12016"/>
    <w:rsid w:val="6DFC7123"/>
    <w:rsid w:val="6E300925"/>
    <w:rsid w:val="6E6B10E2"/>
    <w:rsid w:val="6E7643C5"/>
    <w:rsid w:val="6E9F563F"/>
    <w:rsid w:val="6EB56801"/>
    <w:rsid w:val="6ECF5745"/>
    <w:rsid w:val="6F2A6E9B"/>
    <w:rsid w:val="6F65392A"/>
    <w:rsid w:val="6F657251"/>
    <w:rsid w:val="6F930E05"/>
    <w:rsid w:val="6F962BC7"/>
    <w:rsid w:val="6F971964"/>
    <w:rsid w:val="6FC40FE0"/>
    <w:rsid w:val="6FC771F3"/>
    <w:rsid w:val="702C48A1"/>
    <w:rsid w:val="703E6382"/>
    <w:rsid w:val="70C66AA3"/>
    <w:rsid w:val="70E34B2E"/>
    <w:rsid w:val="70E7136B"/>
    <w:rsid w:val="712A2343"/>
    <w:rsid w:val="714056A1"/>
    <w:rsid w:val="717A7AAE"/>
    <w:rsid w:val="71934A3D"/>
    <w:rsid w:val="71B65F0C"/>
    <w:rsid w:val="722C37FD"/>
    <w:rsid w:val="722C77DC"/>
    <w:rsid w:val="725A6005"/>
    <w:rsid w:val="72763367"/>
    <w:rsid w:val="73136438"/>
    <w:rsid w:val="73360277"/>
    <w:rsid w:val="733B5276"/>
    <w:rsid w:val="738A19C7"/>
    <w:rsid w:val="738C1984"/>
    <w:rsid w:val="73F956C1"/>
    <w:rsid w:val="74180435"/>
    <w:rsid w:val="74321579"/>
    <w:rsid w:val="743C0E2B"/>
    <w:rsid w:val="74665B7D"/>
    <w:rsid w:val="7481636F"/>
    <w:rsid w:val="74A519C0"/>
    <w:rsid w:val="74B16DA1"/>
    <w:rsid w:val="74E15348"/>
    <w:rsid w:val="74F00593"/>
    <w:rsid w:val="752E1B6A"/>
    <w:rsid w:val="75435F27"/>
    <w:rsid w:val="7599180F"/>
    <w:rsid w:val="75C426E1"/>
    <w:rsid w:val="75CC66A8"/>
    <w:rsid w:val="75EF2CA2"/>
    <w:rsid w:val="75F52144"/>
    <w:rsid w:val="761D1F25"/>
    <w:rsid w:val="765C4E27"/>
    <w:rsid w:val="765F08AA"/>
    <w:rsid w:val="768844FD"/>
    <w:rsid w:val="76941EAC"/>
    <w:rsid w:val="76971C2A"/>
    <w:rsid w:val="76A326B1"/>
    <w:rsid w:val="76AA6C3C"/>
    <w:rsid w:val="76CB2972"/>
    <w:rsid w:val="77D901DF"/>
    <w:rsid w:val="7808174F"/>
    <w:rsid w:val="781858F3"/>
    <w:rsid w:val="78800B64"/>
    <w:rsid w:val="788413D0"/>
    <w:rsid w:val="78EE71BC"/>
    <w:rsid w:val="79624073"/>
    <w:rsid w:val="79635569"/>
    <w:rsid w:val="79737F17"/>
    <w:rsid w:val="79851FAD"/>
    <w:rsid w:val="79B3683E"/>
    <w:rsid w:val="7A6D5CF5"/>
    <w:rsid w:val="7A811C8D"/>
    <w:rsid w:val="7A8D5AF2"/>
    <w:rsid w:val="7AD720B3"/>
    <w:rsid w:val="7AF96814"/>
    <w:rsid w:val="7B2B4678"/>
    <w:rsid w:val="7B567CED"/>
    <w:rsid w:val="7B9A137C"/>
    <w:rsid w:val="7C286408"/>
    <w:rsid w:val="7C2D250B"/>
    <w:rsid w:val="7C6A65E7"/>
    <w:rsid w:val="7C6C4FCB"/>
    <w:rsid w:val="7C7A5350"/>
    <w:rsid w:val="7CD074D2"/>
    <w:rsid w:val="7D1A6177"/>
    <w:rsid w:val="7DA63EE4"/>
    <w:rsid w:val="7DC3749B"/>
    <w:rsid w:val="7DC91981"/>
    <w:rsid w:val="7DE73C26"/>
    <w:rsid w:val="7DF83751"/>
    <w:rsid w:val="7E636123"/>
    <w:rsid w:val="7E824719"/>
    <w:rsid w:val="7EBC1948"/>
    <w:rsid w:val="7ED71FB7"/>
    <w:rsid w:val="7F1F6D83"/>
    <w:rsid w:val="7F486B03"/>
    <w:rsid w:val="7F71566D"/>
    <w:rsid w:val="7F717642"/>
    <w:rsid w:val="7F87574A"/>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Lines/>
      <w:widowControl/>
      <w:spacing w:before="340" w:after="330" w:line="578" w:lineRule="auto"/>
      <w:jc w:val="center"/>
      <w:outlineLvl w:val="0"/>
    </w:pPr>
    <w:rPr>
      <w:rFonts w:eastAsia="黑体"/>
      <w:kern w:val="44"/>
      <w:sz w:val="32"/>
      <w:szCs w:val="44"/>
    </w:rPr>
  </w:style>
  <w:style w:type="paragraph" w:styleId="4">
    <w:name w:val="heading 2"/>
    <w:basedOn w:val="1"/>
    <w:next w:val="5"/>
    <w:autoRedefine/>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6">
    <w:name w:val="heading 3"/>
    <w:basedOn w:val="1"/>
    <w:next w:val="1"/>
    <w:autoRedefine/>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7">
    <w:name w:val="heading 5"/>
    <w:basedOn w:val="1"/>
    <w:next w:val="1"/>
    <w:autoRedefine/>
    <w:qFormat/>
    <w:uiPriority w:val="0"/>
    <w:pPr>
      <w:widowControl/>
      <w:numPr>
        <w:ilvl w:val="4"/>
        <w:numId w:val="1"/>
      </w:numPr>
      <w:spacing w:before="240" w:after="60"/>
      <w:jc w:val="left"/>
      <w:outlineLvl w:val="4"/>
    </w:pPr>
    <w:rPr>
      <w:rFonts w:ascii="Arial" w:hAnsi="Arial"/>
      <w:b/>
      <w:i/>
      <w:kern w:val="0"/>
      <w:sz w:val="26"/>
    </w:rPr>
  </w:style>
  <w:style w:type="paragraph" w:styleId="8">
    <w:name w:val="heading 6"/>
    <w:basedOn w:val="1"/>
    <w:next w:val="1"/>
    <w:autoRedefine/>
    <w:qFormat/>
    <w:uiPriority w:val="0"/>
    <w:pPr>
      <w:widowControl/>
      <w:numPr>
        <w:ilvl w:val="5"/>
        <w:numId w:val="1"/>
      </w:numPr>
      <w:spacing w:before="240" w:after="60"/>
      <w:jc w:val="left"/>
      <w:outlineLvl w:val="5"/>
    </w:pPr>
    <w:rPr>
      <w:rFonts w:ascii="Arial" w:hAnsi="Arial"/>
      <w:b/>
      <w:kern w:val="0"/>
      <w:sz w:val="24"/>
    </w:rPr>
  </w:style>
  <w:style w:type="paragraph" w:styleId="9">
    <w:name w:val="heading 7"/>
    <w:basedOn w:val="1"/>
    <w:next w:val="1"/>
    <w:autoRedefine/>
    <w:qFormat/>
    <w:uiPriority w:val="0"/>
    <w:pPr>
      <w:keepNext/>
      <w:keepLines/>
      <w:widowControl/>
      <w:spacing w:before="240" w:after="64" w:line="320" w:lineRule="auto"/>
      <w:jc w:val="left"/>
      <w:outlineLvl w:val="6"/>
    </w:pPr>
    <w:rPr>
      <w:b/>
      <w:bCs/>
      <w:kern w:val="0"/>
      <w:sz w:val="24"/>
      <w:szCs w:val="24"/>
    </w:rPr>
  </w:style>
  <w:style w:type="paragraph" w:styleId="10">
    <w:name w:val="heading 8"/>
    <w:basedOn w:val="1"/>
    <w:next w:val="1"/>
    <w:autoRedefine/>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autoRedefine/>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宋体" w:hAnsi="宋体"/>
      <w:sz w:val="24"/>
      <w:szCs w:val="24"/>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12">
    <w:name w:val="Normal Indent"/>
    <w:basedOn w:val="1"/>
    <w:autoRedefine/>
    <w:qFormat/>
    <w:uiPriority w:val="0"/>
    <w:pPr>
      <w:spacing w:line="360" w:lineRule="auto"/>
      <w:ind w:firstLine="420"/>
    </w:pPr>
    <w:rPr>
      <w:sz w:val="24"/>
      <w:szCs w:val="24"/>
    </w:rPr>
  </w:style>
  <w:style w:type="paragraph" w:styleId="13">
    <w:name w:val="annotation text"/>
    <w:basedOn w:val="1"/>
    <w:autoRedefine/>
    <w:qFormat/>
    <w:uiPriority w:val="0"/>
    <w:pPr>
      <w:adjustRightInd w:val="0"/>
      <w:spacing w:line="360" w:lineRule="atLeast"/>
      <w:jc w:val="left"/>
      <w:textAlignment w:val="baseline"/>
    </w:pPr>
    <w:rPr>
      <w:kern w:val="0"/>
      <w:sz w:val="24"/>
    </w:rPr>
  </w:style>
  <w:style w:type="paragraph" w:styleId="14">
    <w:name w:val="Body Text Indent"/>
    <w:basedOn w:val="1"/>
    <w:autoRedefine/>
    <w:qFormat/>
    <w:uiPriority w:val="0"/>
    <w:pPr>
      <w:ind w:firstLine="560" w:firstLineChars="200"/>
    </w:pPr>
    <w:rPr>
      <w:rFonts w:ascii="宋体" w:hAnsi="宋体"/>
      <w:sz w:val="28"/>
      <w:szCs w:val="24"/>
    </w:rPr>
  </w:style>
  <w:style w:type="paragraph" w:styleId="15">
    <w:name w:val="Plain Text"/>
    <w:basedOn w:val="1"/>
    <w:link w:val="91"/>
    <w:autoRedefine/>
    <w:qFormat/>
    <w:uiPriority w:val="0"/>
    <w:rPr>
      <w:rFonts w:ascii="宋体" w:hAnsi="Courier New"/>
      <w:szCs w:val="24"/>
    </w:rPr>
  </w:style>
  <w:style w:type="paragraph" w:styleId="16">
    <w:name w:val="Date"/>
    <w:basedOn w:val="1"/>
    <w:next w:val="1"/>
    <w:autoRedefine/>
    <w:qFormat/>
    <w:uiPriority w:val="0"/>
    <w:pPr>
      <w:ind w:left="100" w:leftChars="2500"/>
    </w:pPr>
    <w:rPr>
      <w:rFonts w:ascii="宋体" w:hAnsi="宋体"/>
      <w:sz w:val="28"/>
      <w:szCs w:val="24"/>
    </w:rPr>
  </w:style>
  <w:style w:type="paragraph" w:styleId="17">
    <w:name w:val="Body Text Indent 2"/>
    <w:basedOn w:val="1"/>
    <w:autoRedefine/>
    <w:qFormat/>
    <w:uiPriority w:val="0"/>
    <w:pPr>
      <w:ind w:left="360"/>
    </w:pPr>
    <w:rPr>
      <w:sz w:val="24"/>
      <w:szCs w:val="24"/>
    </w:rPr>
  </w:style>
  <w:style w:type="paragraph" w:styleId="18">
    <w:name w:val="Balloon Text"/>
    <w:basedOn w:val="1"/>
    <w:link w:val="90"/>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0"/>
    <w:pPr>
      <w:tabs>
        <w:tab w:val="right" w:leader="dot" w:pos="8505"/>
      </w:tabs>
      <w:spacing w:line="500" w:lineRule="exact"/>
    </w:pPr>
    <w:rPr>
      <w:rFonts w:ascii="宋体" w:hAnsi="宋体" w:eastAsia="仿宋_GB2312"/>
      <w:b/>
      <w:sz w:val="24"/>
      <w:szCs w:val="24"/>
    </w:rPr>
  </w:style>
  <w:style w:type="paragraph" w:styleId="22">
    <w:name w:val="index heading"/>
    <w:basedOn w:val="1"/>
    <w:next w:val="23"/>
    <w:autoRedefine/>
    <w:qFormat/>
    <w:uiPriority w:val="0"/>
    <w:pPr>
      <w:adjustRightInd/>
      <w:spacing w:line="240" w:lineRule="auto"/>
      <w:textAlignment w:val="auto"/>
    </w:pPr>
    <w:rPr>
      <w:kern w:val="2"/>
      <w:szCs w:val="21"/>
    </w:rPr>
  </w:style>
  <w:style w:type="paragraph" w:styleId="23">
    <w:name w:val="index 1"/>
    <w:basedOn w:val="1"/>
    <w:next w:val="1"/>
    <w:autoRedefine/>
    <w:qFormat/>
    <w:uiPriority w:val="0"/>
  </w:style>
  <w:style w:type="paragraph" w:styleId="24">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25">
    <w:name w:val="toc 2"/>
    <w:basedOn w:val="1"/>
    <w:next w:val="1"/>
    <w:autoRedefine/>
    <w:semiHidden/>
    <w:qFormat/>
    <w:uiPriority w:val="0"/>
    <w:pPr>
      <w:ind w:left="420" w:leftChars="200"/>
    </w:pPr>
  </w:style>
  <w:style w:type="paragraph" w:styleId="26">
    <w:name w:val="Body Text 2"/>
    <w:basedOn w:val="1"/>
    <w:autoRedefine/>
    <w:qFormat/>
    <w:uiPriority w:val="0"/>
    <w:rPr>
      <w:rFonts w:ascii="宋体" w:hAnsi="宋体"/>
      <w:sz w:val="28"/>
      <w:szCs w:val="24"/>
    </w:rPr>
  </w:style>
  <w:style w:type="paragraph" w:styleId="27">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28">
    <w:name w:val="Title"/>
    <w:basedOn w:val="1"/>
    <w:link w:val="88"/>
    <w:autoRedefine/>
    <w:qFormat/>
    <w:uiPriority w:val="0"/>
    <w:pPr>
      <w:jc w:val="center"/>
    </w:pPr>
    <w:rPr>
      <w:rFonts w:ascii="Cambria" w:hAnsi="Cambria"/>
      <w:b/>
      <w:bCs/>
      <w:sz w:val="32"/>
      <w:szCs w:val="32"/>
    </w:rPr>
  </w:style>
  <w:style w:type="paragraph" w:styleId="29">
    <w:name w:val="Body Text First Indent 2"/>
    <w:basedOn w:val="14"/>
    <w:next w:val="30"/>
    <w:autoRedefine/>
    <w:qFormat/>
    <w:uiPriority w:val="0"/>
    <w:pPr>
      <w:spacing w:after="120"/>
      <w:ind w:left="420" w:leftChars="200" w:firstLine="420"/>
    </w:pPr>
    <w:rPr>
      <w:rFonts w:ascii="仿宋_GB2312" w:hAnsi="Times New Roman" w:eastAsia="仿宋_GB2312"/>
      <w:sz w:val="32"/>
      <w:szCs w:val="32"/>
    </w:rPr>
  </w:style>
  <w:style w:type="paragraph" w:customStyle="1" w:styleId="30">
    <w:name w:val="*正文"/>
    <w:basedOn w:val="1"/>
    <w:autoRedefine/>
    <w:qFormat/>
    <w:uiPriority w:val="0"/>
    <w:pPr>
      <w:spacing w:line="360" w:lineRule="auto"/>
      <w:ind w:firstLine="480"/>
    </w:pPr>
    <w:rPr>
      <w:rFonts w:hAnsi="宋体" w:cs="仿宋_GB2312"/>
      <w:color w:val="000000"/>
      <w:sz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paragraph" w:customStyle="1" w:styleId="38">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1"/>
    <w:autoRedefine/>
    <w:qFormat/>
    <w:uiPriority w:val="0"/>
    <w:rPr>
      <w:szCs w:val="24"/>
    </w:rPr>
  </w:style>
  <w:style w:type="paragraph" w:customStyle="1" w:styleId="40">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页眉 New New"/>
    <w:basedOn w:val="42"/>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2">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页眉 New New New New New"/>
    <w:basedOn w:val="4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眉 New New New New New New New"/>
    <w:basedOn w:val="46"/>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6">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页脚 New New New New New New New New New New"/>
    <w:basedOn w:val="48"/>
    <w:autoRedefine/>
    <w:qFormat/>
    <w:uiPriority w:val="0"/>
    <w:pPr>
      <w:tabs>
        <w:tab w:val="center" w:pos="4153"/>
        <w:tab w:val="right" w:pos="8306"/>
      </w:tabs>
      <w:snapToGrid w:val="0"/>
      <w:jc w:val="left"/>
    </w:pPr>
    <w:rPr>
      <w:sz w:val="18"/>
    </w:rPr>
  </w:style>
  <w:style w:type="paragraph" w:customStyle="1" w:styleId="48">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普通(网站) New"/>
    <w:basedOn w:val="5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50">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New New New New New"/>
    <w:basedOn w:val="46"/>
    <w:autoRedefine/>
    <w:qFormat/>
    <w:uiPriority w:val="0"/>
    <w:pPr>
      <w:tabs>
        <w:tab w:val="center" w:pos="4153"/>
        <w:tab w:val="right" w:pos="8306"/>
      </w:tabs>
      <w:snapToGrid w:val="0"/>
      <w:jc w:val="left"/>
    </w:pPr>
    <w:rPr>
      <w:sz w:val="18"/>
    </w:rPr>
  </w:style>
  <w:style w:type="paragraph" w:customStyle="1" w:styleId="52">
    <w:name w:val="页脚 New New New"/>
    <w:basedOn w:val="53"/>
    <w:autoRedefine/>
    <w:qFormat/>
    <w:uiPriority w:val="0"/>
    <w:pPr>
      <w:tabs>
        <w:tab w:val="center" w:pos="4153"/>
        <w:tab w:val="right" w:pos="8306"/>
      </w:tabs>
      <w:snapToGrid w:val="0"/>
      <w:jc w:val="left"/>
    </w:pPr>
    <w:rPr>
      <w:sz w:val="18"/>
    </w:rPr>
  </w:style>
  <w:style w:type="paragraph" w:customStyle="1" w:styleId="53">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样式 标题 3 + (中文) 黑体 小四 非加粗 段前: 7.8 磅 段后: 0 磅 行距: 固定值 20 磅"/>
    <w:basedOn w:val="6"/>
    <w:autoRedefine/>
    <w:qFormat/>
    <w:uiPriority w:val="0"/>
    <w:pPr>
      <w:spacing w:before="0" w:after="0" w:line="400" w:lineRule="exact"/>
    </w:pPr>
    <w:rPr>
      <w:rFonts w:cs="宋体"/>
      <w:b/>
      <w:bCs/>
      <w:szCs w:val="20"/>
    </w:rPr>
  </w:style>
  <w:style w:type="paragraph" w:customStyle="1" w:styleId="56">
    <w:name w:val="_Style 8"/>
    <w:basedOn w:val="1"/>
    <w:next w:val="24"/>
    <w:autoRedefine/>
    <w:qFormat/>
    <w:uiPriority w:val="0"/>
    <w:pPr>
      <w:spacing w:line="360" w:lineRule="auto"/>
      <w:ind w:firstLine="632"/>
    </w:pPr>
    <w:rPr>
      <w:rFonts w:ascii="黑体" w:eastAsia="黑体"/>
      <w:sz w:val="28"/>
    </w:rPr>
  </w:style>
  <w:style w:type="paragraph" w:customStyle="1" w:styleId="57">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脚 New New New New New New New New New"/>
    <w:basedOn w:val="59"/>
    <w:autoRedefine/>
    <w:qFormat/>
    <w:uiPriority w:val="0"/>
    <w:pPr>
      <w:tabs>
        <w:tab w:val="center" w:pos="4153"/>
        <w:tab w:val="right" w:pos="8306"/>
      </w:tabs>
      <w:snapToGrid w:val="0"/>
      <w:jc w:val="left"/>
    </w:pPr>
    <w:rPr>
      <w:sz w:val="18"/>
    </w:rPr>
  </w:style>
  <w:style w:type="paragraph" w:customStyle="1" w:styleId="59">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页眉 New"/>
    <w:basedOn w:val="6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普通(网站) New New"/>
    <w:basedOn w:val="4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63">
    <w:name w:val="页眉 New New New New New New New New"/>
    <w:basedOn w:val="5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页脚 New New New New New New New New"/>
    <w:basedOn w:val="57"/>
    <w:autoRedefine/>
    <w:qFormat/>
    <w:uiPriority w:val="0"/>
    <w:pPr>
      <w:tabs>
        <w:tab w:val="center" w:pos="4153"/>
        <w:tab w:val="right" w:pos="8306"/>
      </w:tabs>
      <w:snapToGrid w:val="0"/>
      <w:jc w:val="left"/>
    </w:pPr>
    <w:rPr>
      <w:sz w:val="18"/>
    </w:rPr>
  </w:style>
  <w:style w:type="paragraph" w:customStyle="1" w:styleId="65">
    <w:name w:val="页眉 New New New New New New New New New New"/>
    <w:basedOn w:val="48"/>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6">
    <w:name w:val="页眉 New New New New New New New New New"/>
    <w:basedOn w:val="59"/>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脚 New New"/>
    <w:basedOn w:val="42"/>
    <w:autoRedefine/>
    <w:qFormat/>
    <w:uiPriority w:val="0"/>
    <w:pPr>
      <w:tabs>
        <w:tab w:val="center" w:pos="4153"/>
        <w:tab w:val="right" w:pos="8306"/>
      </w:tabs>
      <w:snapToGrid w:val="0"/>
      <w:jc w:val="left"/>
    </w:pPr>
    <w:rPr>
      <w:sz w:val="18"/>
    </w:rPr>
  </w:style>
  <w:style w:type="paragraph" w:customStyle="1" w:styleId="70">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Char"/>
    <w:basedOn w:val="1"/>
    <w:autoRedefine/>
    <w:qFormat/>
    <w:uiPriority w:val="0"/>
    <w:rPr>
      <w:rFonts w:ascii="宋体"/>
      <w:kern w:val="0"/>
      <w:sz w:val="24"/>
      <w:szCs w:val="24"/>
    </w:rPr>
  </w:style>
  <w:style w:type="paragraph" w:customStyle="1" w:styleId="72">
    <w:name w:val="标题 1 New"/>
    <w:basedOn w:val="60"/>
    <w:next w:val="60"/>
    <w:autoRedefine/>
    <w:qFormat/>
    <w:uiPriority w:val="0"/>
    <w:pPr>
      <w:keepNext/>
      <w:keepLines/>
      <w:spacing w:before="340" w:after="330" w:line="576" w:lineRule="auto"/>
      <w:outlineLvl w:val="0"/>
    </w:pPr>
    <w:rPr>
      <w:b/>
      <w:kern w:val="44"/>
      <w:sz w:val="44"/>
    </w:rPr>
  </w:style>
  <w:style w:type="paragraph" w:customStyle="1" w:styleId="73">
    <w:name w:val="页脚 New New New New New New"/>
    <w:basedOn w:val="74"/>
    <w:autoRedefine/>
    <w:qFormat/>
    <w:uiPriority w:val="0"/>
    <w:pPr>
      <w:tabs>
        <w:tab w:val="center" w:pos="4153"/>
        <w:tab w:val="right" w:pos="8306"/>
      </w:tabs>
      <w:snapToGrid w:val="0"/>
      <w:jc w:val="left"/>
    </w:pPr>
    <w:rPr>
      <w:sz w:val="18"/>
    </w:rPr>
  </w:style>
  <w:style w:type="paragraph" w:customStyle="1" w:styleId="74">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页脚 New New New New"/>
    <w:basedOn w:val="76"/>
    <w:autoRedefine/>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7">
    <w:name w:val="样式1"/>
    <w:basedOn w:val="3"/>
    <w:autoRedefine/>
    <w:qFormat/>
    <w:uiPriority w:val="0"/>
    <w:pPr>
      <w:tabs>
        <w:tab w:val="left" w:pos="816"/>
      </w:tabs>
      <w:spacing w:line="0" w:lineRule="atLeast"/>
      <w:ind w:left="816" w:hanging="816"/>
    </w:pPr>
  </w:style>
  <w:style w:type="paragraph" w:customStyle="1" w:styleId="78">
    <w:name w:val="页眉 New New New New"/>
    <w:basedOn w:val="7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Char Char Char Char"/>
    <w:basedOn w:val="1"/>
    <w:autoRedefine/>
    <w:qFormat/>
    <w:uiPriority w:val="0"/>
    <w:rPr>
      <w:rFonts w:eastAsia="仿宋_GB2312"/>
      <w:sz w:val="32"/>
    </w:rPr>
  </w:style>
  <w:style w:type="paragraph" w:customStyle="1" w:styleId="80">
    <w:name w:val="标题 2 New New"/>
    <w:basedOn w:val="76"/>
    <w:next w:val="76"/>
    <w:autoRedefine/>
    <w:qFormat/>
    <w:uiPriority w:val="0"/>
    <w:pPr>
      <w:keepNext/>
      <w:keepLines/>
      <w:adjustRightInd w:val="0"/>
      <w:snapToGrid w:val="0"/>
      <w:spacing w:line="360" w:lineRule="auto"/>
      <w:outlineLvl w:val="1"/>
    </w:pPr>
    <w:rPr>
      <w:rFonts w:ascii="宋体" w:hAnsi="宋体"/>
    </w:rPr>
  </w:style>
  <w:style w:type="paragraph" w:customStyle="1" w:styleId="81">
    <w:name w:val="页脚 New New New New New"/>
    <w:basedOn w:val="44"/>
    <w:autoRedefine/>
    <w:qFormat/>
    <w:uiPriority w:val="0"/>
    <w:pPr>
      <w:tabs>
        <w:tab w:val="center" w:pos="4153"/>
        <w:tab w:val="right" w:pos="8306"/>
      </w:tabs>
      <w:snapToGrid w:val="0"/>
      <w:jc w:val="left"/>
    </w:pPr>
    <w:rPr>
      <w:sz w:val="18"/>
    </w:rPr>
  </w:style>
  <w:style w:type="paragraph" w:customStyle="1" w:styleId="82">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页脚 New"/>
    <w:basedOn w:val="60"/>
    <w:autoRedefine/>
    <w:qFormat/>
    <w:uiPriority w:val="0"/>
    <w:pPr>
      <w:tabs>
        <w:tab w:val="center" w:pos="4153"/>
        <w:tab w:val="right" w:pos="8306"/>
      </w:tabs>
      <w:snapToGrid w:val="0"/>
      <w:jc w:val="left"/>
    </w:pPr>
    <w:rPr>
      <w:sz w:val="18"/>
    </w:rPr>
  </w:style>
  <w:style w:type="paragraph" w:customStyle="1" w:styleId="84">
    <w:name w:val="页眉 New New New"/>
    <w:basedOn w:val="53"/>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Cs w:val="20"/>
    </w:rPr>
  </w:style>
  <w:style w:type="paragraph" w:customStyle="1" w:styleId="86">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页眉 New New New New New New"/>
    <w:basedOn w:val="7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character" w:customStyle="1" w:styleId="88">
    <w:name w:val="标题 字符"/>
    <w:link w:val="28"/>
    <w:autoRedefine/>
    <w:qFormat/>
    <w:locked/>
    <w:uiPriority w:val="0"/>
    <w:rPr>
      <w:rFonts w:ascii="Cambria" w:hAnsi="Cambria"/>
      <w:b/>
      <w:bCs/>
      <w:kern w:val="2"/>
      <w:sz w:val="32"/>
      <w:szCs w:val="32"/>
      <w:lang w:bidi="ar-SA"/>
    </w:rPr>
  </w:style>
  <w:style w:type="character" w:customStyle="1" w:styleId="89">
    <w:name w:val="标题 Char"/>
    <w:autoRedefine/>
    <w:qFormat/>
    <w:uiPriority w:val="0"/>
    <w:rPr>
      <w:rFonts w:ascii="Cambria" w:hAnsi="Cambria" w:cs="Times New Roman"/>
      <w:b/>
      <w:bCs/>
      <w:kern w:val="2"/>
      <w:sz w:val="36"/>
      <w:szCs w:val="32"/>
    </w:rPr>
  </w:style>
  <w:style w:type="character" w:customStyle="1" w:styleId="90">
    <w:name w:val="批注框文本 字符"/>
    <w:link w:val="18"/>
    <w:autoRedefine/>
    <w:qFormat/>
    <w:uiPriority w:val="0"/>
    <w:rPr>
      <w:rFonts w:eastAsia="宋体"/>
      <w:kern w:val="2"/>
      <w:sz w:val="18"/>
      <w:szCs w:val="18"/>
      <w:lang w:val="en-US" w:eastAsia="zh-CN" w:bidi="ar-SA"/>
    </w:rPr>
  </w:style>
  <w:style w:type="character" w:customStyle="1" w:styleId="91">
    <w:name w:val="纯文本 字符"/>
    <w:link w:val="15"/>
    <w:autoRedefine/>
    <w:qFormat/>
    <w:uiPriority w:val="0"/>
    <w:rPr>
      <w:rFonts w:ascii="宋体" w:hAnsi="Courier New" w:eastAsia="宋体"/>
      <w:kern w:val="2"/>
      <w:sz w:val="21"/>
      <w:szCs w:val="24"/>
      <w:lang w:val="en-US" w:eastAsia="zh-CN" w:bidi="ar-SA"/>
    </w:rPr>
  </w:style>
  <w:style w:type="character" w:customStyle="1" w:styleId="92">
    <w:name w:val="标题 Char1"/>
    <w:autoRedefine/>
    <w:qFormat/>
    <w:uiPriority w:val="0"/>
    <w:rPr>
      <w:rFonts w:ascii="Cambria" w:hAnsi="Cambria" w:cs="Times New Roman"/>
      <w:b/>
      <w:bCs/>
      <w:kern w:val="2"/>
      <w:sz w:val="32"/>
      <w:szCs w:val="32"/>
    </w:rPr>
  </w:style>
  <w:style w:type="character" w:customStyle="1" w:styleId="93">
    <w:name w:val="font31"/>
    <w:basedOn w:val="33"/>
    <w:autoRedefine/>
    <w:qFormat/>
    <w:uiPriority w:val="0"/>
    <w:rPr>
      <w:rFonts w:hint="default" w:ascii="报宋" w:hAnsi="报宋" w:eastAsia="报宋" w:cs="报宋"/>
      <w:color w:val="0A0A0A"/>
      <w:sz w:val="22"/>
      <w:szCs w:val="22"/>
      <w:u w:val="none"/>
    </w:rPr>
  </w:style>
  <w:style w:type="character" w:customStyle="1" w:styleId="94">
    <w:name w:val="font21"/>
    <w:basedOn w:val="33"/>
    <w:autoRedefine/>
    <w:qFormat/>
    <w:uiPriority w:val="0"/>
    <w:rPr>
      <w:rFonts w:hint="eastAsia" w:ascii="宋体" w:hAnsi="宋体" w:eastAsia="宋体" w:cs="宋体"/>
      <w:b/>
      <w:bCs/>
      <w:color w:val="000000"/>
      <w:sz w:val="22"/>
      <w:szCs w:val="22"/>
      <w:u w:val="none"/>
    </w:rPr>
  </w:style>
  <w:style w:type="paragraph" w:customStyle="1" w:styleId="95">
    <w:name w:val="首行缩进"/>
    <w:basedOn w:val="1"/>
    <w:autoRedefine/>
    <w:qFormat/>
    <w:uiPriority w:val="0"/>
    <w:pPr>
      <w:ind w:firstLine="480" w:firstLineChars="200"/>
    </w:pPr>
    <w:rPr>
      <w:lang w:val="zh-CN"/>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99">
    <w:name w:val="Revision"/>
    <w:autoRedefine/>
    <w:hidden/>
    <w:unhideWhenUsed/>
    <w:qFormat/>
    <w:uiPriority w:val="99"/>
    <w:rPr>
      <w:rFonts w:ascii="Times New Roman" w:hAnsi="Times New Roman" w:eastAsia="宋体" w:cs="Times New Roman"/>
      <w:kern w:val="2"/>
      <w:sz w:val="21"/>
      <w:lang w:val="en-US" w:eastAsia="zh-CN" w:bidi="ar-SA"/>
    </w:rPr>
  </w:style>
  <w:style w:type="paragraph" w:styleId="10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www.deepinghost.com</Company>
  <Pages>42</Pages>
  <Words>3192</Words>
  <Characters>3543</Characters>
  <Lines>85</Lines>
  <Paragraphs>24</Paragraphs>
  <TotalTime>19</TotalTime>
  <ScaleCrop>false</ScaleCrop>
  <LinksUpToDate>false</LinksUpToDate>
  <CharactersWithSpaces>3620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2020-05-12T17:16:00Z</dcterms:created>
  <dc:creator>User</dc:creator>
  <cp:lastModifiedBy>林思佳</cp:lastModifiedBy>
  <cp:lastPrinted>2025-09-01T01:32:00Z</cp:lastPrinted>
  <dcterms:modified xsi:type="dcterms:W3CDTF">2025-09-01T08:37:01Z</dcterms:modified>
  <dc:title>福建省高速公路养护工程材料采购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6145ABE76E5C4970BAAEB6DEA34E4956_13</vt:lpwstr>
  </property>
  <property fmtid="{D5CDD505-2E9C-101B-9397-08002B2CF9AE}" pid="4" name="KSOTemplateDocerSaveRecord">
    <vt:lpwstr>eyJoZGlkIjoiMzNkMzA4ZDUxOWNlM2ZmOTg2N2JmMDRlZmE3YTUxYmMiLCJ1c2VySWQiOiI0MzM4MTQzNDUifQ==</vt:lpwstr>
  </property>
</Properties>
</file>